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4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spacing w:val="68"/>
          <w:sz w:val="52"/>
          <w:szCs w:val="52"/>
          <w:u w:val="single"/>
          <w:lang w:val="en-US" w:eastAsia="zh-CN"/>
        </w:rPr>
      </w:pPr>
      <w:r>
        <w:rPr>
          <w:rFonts w:hint="eastAsia" w:ascii="方正小标宋简体" w:hAnsi="方正小标宋简体" w:eastAsia="方正小标宋简体" w:cs="方正小标宋简体"/>
          <w:color w:val="FF0000"/>
          <w:spacing w:val="68"/>
          <w:sz w:val="52"/>
          <w:szCs w:val="52"/>
          <w:u w:val="single"/>
          <w:lang w:val="en-US" w:eastAsia="zh-CN"/>
        </w:rPr>
        <w:t xml:space="preserve"> </w:t>
      </w:r>
      <w:r>
        <w:rPr>
          <w:rFonts w:hint="eastAsia" w:ascii="方正小标宋简体" w:hAnsi="方正小标宋简体" w:eastAsia="方正小标宋简体" w:cs="方正小标宋简体"/>
          <w:color w:val="FF0000"/>
          <w:spacing w:val="68"/>
          <w:sz w:val="52"/>
          <w:szCs w:val="52"/>
          <w:u w:val="single"/>
          <w:lang w:eastAsia="zh-CN"/>
        </w:rPr>
        <w:t>大同市生态环境局灵丘分局</w:t>
      </w:r>
      <w:r>
        <w:rPr>
          <w:rFonts w:hint="eastAsia" w:ascii="方正小标宋简体" w:hAnsi="方正小标宋简体" w:eastAsia="方正小标宋简体" w:cs="方正小标宋简体"/>
          <w:color w:val="FF0000"/>
          <w:spacing w:val="68"/>
          <w:sz w:val="52"/>
          <w:szCs w:val="52"/>
          <w:u w:val="single"/>
          <w:lang w:val="en-US" w:eastAsia="zh-CN"/>
        </w:rPr>
        <w:t xml:space="preserve"> </w:t>
      </w:r>
    </w:p>
    <w:p w14:paraId="1D3DB826">
      <w:pPr>
        <w:wordWrap w:val="0"/>
        <w:spacing w:line="600" w:lineRule="exact"/>
        <w:jc w:val="right"/>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灵环函〔</w:t>
      </w:r>
      <w:r>
        <w:rPr>
          <w:rFonts w:hint="eastAsia" w:ascii="仿宋" w:hAnsi="仿宋" w:eastAsia="仿宋" w:cs="仿宋"/>
          <w:spacing w:val="-11"/>
          <w:sz w:val="32"/>
          <w:szCs w:val="32"/>
          <w:lang w:val="en-US" w:eastAsia="zh-CN"/>
        </w:rPr>
        <w:t>2025〕7号</w:t>
      </w:r>
    </w:p>
    <w:p w14:paraId="279015E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 w:hAnsi="仿宋" w:eastAsia="仿宋" w:cs="仿宋"/>
          <w:spacing w:val="-11"/>
          <w:sz w:val="21"/>
          <w:szCs w:val="21"/>
          <w:lang w:val="en-US" w:eastAsia="zh-CN"/>
        </w:rPr>
      </w:pPr>
    </w:p>
    <w:p w14:paraId="3F41FA0E">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关于</w:t>
      </w:r>
      <w:r>
        <w:rPr>
          <w:rStyle w:val="10"/>
          <w:rFonts w:hint="eastAsia" w:ascii="方正小标宋简体" w:hAnsi="方正小标宋简体" w:eastAsia="方正小标宋简体"/>
          <w:b w:val="0"/>
          <w:i w:val="0"/>
          <w:caps w:val="0"/>
          <w:spacing w:val="-11"/>
          <w:w w:val="100"/>
          <w:kern w:val="2"/>
          <w:sz w:val="44"/>
          <w:szCs w:val="44"/>
          <w:lang w:val="en-US" w:eastAsia="zh-CN" w:bidi="ar-SA"/>
        </w:rPr>
        <w:t>灵丘县豪洋新型建材科技开发有限公司年生产60万吨细粒砂石原料项目</w:t>
      </w:r>
    </w:p>
    <w:p w14:paraId="72EDCC1B">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环境影响报告表的批复</w:t>
      </w:r>
    </w:p>
    <w:p w14:paraId="27869EBB">
      <w:pPr>
        <w:snapToGrid/>
        <w:spacing w:before="0" w:beforeAutospacing="0" w:after="0" w:afterAutospacing="0" w:line="240" w:lineRule="auto"/>
        <w:jc w:val="center"/>
        <w:textAlignment w:val="baseline"/>
        <w:rPr>
          <w:rStyle w:val="10"/>
          <w:rFonts w:ascii="仿宋_GB2312" w:hAnsi="仿宋_GB2312" w:eastAsia="仿宋_GB2312"/>
          <w:b w:val="0"/>
          <w:i w:val="0"/>
          <w:caps w:val="0"/>
          <w:spacing w:val="0"/>
          <w:w w:val="100"/>
          <w:kern w:val="2"/>
          <w:sz w:val="21"/>
          <w:szCs w:val="21"/>
          <w:lang w:val="en-US" w:eastAsia="zh-CN" w:bidi="ar-SA"/>
        </w:rPr>
      </w:pPr>
    </w:p>
    <w:p w14:paraId="754A3518">
      <w:pPr>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right="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hint="eastAsia" w:ascii="仿宋_GB2312" w:hAnsi="仿宋" w:eastAsia="仿宋_GB2312"/>
          <w:b w:val="0"/>
          <w:i w:val="0"/>
          <w:caps w:val="0"/>
          <w:spacing w:val="-6"/>
          <w:w w:val="100"/>
          <w:kern w:val="2"/>
          <w:sz w:val="32"/>
          <w:szCs w:val="32"/>
          <w:lang w:val="en-US" w:eastAsia="zh-CN" w:bidi="ar-SA"/>
        </w:rPr>
        <w:t>灵丘县豪洋新型建材科技开发有限公司</w:t>
      </w:r>
      <w:r>
        <w:rPr>
          <w:rStyle w:val="10"/>
          <w:rFonts w:ascii="仿宋_GB2312" w:hAnsi="仿宋_GB2312" w:eastAsia="仿宋_GB2312"/>
          <w:b w:val="0"/>
          <w:i w:val="0"/>
          <w:caps w:val="0"/>
          <w:spacing w:val="-6"/>
          <w:w w:val="100"/>
          <w:kern w:val="2"/>
          <w:sz w:val="32"/>
          <w:szCs w:val="32"/>
          <w:lang w:val="en-US" w:eastAsia="zh-CN" w:bidi="ar-SA"/>
        </w:rPr>
        <w:t>：</w:t>
      </w:r>
    </w:p>
    <w:p w14:paraId="66A862AB">
      <w:pPr>
        <w:pStyle w:val="11"/>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right="0" w:firstLine="616" w:firstLineChars="200"/>
        <w:jc w:val="both"/>
        <w:textAlignment w:val="baseline"/>
        <w:rPr>
          <w:rStyle w:val="10"/>
          <w:rFonts w:ascii="仿宋_GB2312" w:hAnsi="仿宋" w:eastAsia="仿宋_GB2312"/>
          <w:b w:val="0"/>
          <w:i w:val="0"/>
          <w:caps w:val="0"/>
          <w:spacing w:val="-6"/>
          <w:w w:val="100"/>
          <w:kern w:val="2"/>
          <w:sz w:val="32"/>
          <w:szCs w:val="32"/>
          <w:lang w:val="en-US" w:eastAsia="zh-CN" w:bidi="ar-SA"/>
        </w:rPr>
      </w:pPr>
      <w:r>
        <w:rPr>
          <w:rStyle w:val="10"/>
          <w:rFonts w:ascii="仿宋_GB2312" w:hAnsi="仿宋" w:eastAsia="仿宋_GB2312"/>
          <w:b w:val="0"/>
          <w:i w:val="0"/>
          <w:caps w:val="0"/>
          <w:spacing w:val="-6"/>
          <w:w w:val="100"/>
          <w:kern w:val="2"/>
          <w:sz w:val="32"/>
          <w:szCs w:val="32"/>
          <w:lang w:val="en-US" w:eastAsia="zh-CN" w:bidi="ar-SA"/>
        </w:rPr>
        <w:t>你公司</w:t>
      </w:r>
      <w:r>
        <w:rPr>
          <w:rStyle w:val="10"/>
          <w:rFonts w:hint="eastAsia" w:ascii="仿宋_GB2312" w:hAnsi="仿宋" w:eastAsia="仿宋_GB2312"/>
          <w:b w:val="0"/>
          <w:i w:val="0"/>
          <w:caps w:val="0"/>
          <w:spacing w:val="-6"/>
          <w:w w:val="100"/>
          <w:kern w:val="2"/>
          <w:sz w:val="32"/>
          <w:szCs w:val="32"/>
          <w:lang w:val="en-US" w:eastAsia="zh-CN" w:bidi="ar-SA"/>
        </w:rPr>
        <w:t>关于</w:t>
      </w:r>
      <w:r>
        <w:rPr>
          <w:rStyle w:val="10"/>
          <w:rFonts w:ascii="仿宋_GB2312" w:hAnsi="仿宋" w:eastAsia="仿宋_GB2312"/>
          <w:b w:val="0"/>
          <w:i w:val="0"/>
          <w:caps w:val="0"/>
          <w:spacing w:val="-6"/>
          <w:w w:val="100"/>
          <w:kern w:val="2"/>
          <w:sz w:val="32"/>
          <w:szCs w:val="32"/>
          <w:lang w:val="en-US" w:eastAsia="zh-CN" w:bidi="ar-SA"/>
        </w:rPr>
        <w:t>《</w:t>
      </w:r>
      <w:r>
        <w:rPr>
          <w:rStyle w:val="10"/>
          <w:rFonts w:hint="eastAsia" w:ascii="仿宋_GB2312" w:hAnsi="仿宋" w:eastAsia="仿宋_GB2312"/>
          <w:b w:val="0"/>
          <w:i w:val="0"/>
          <w:caps w:val="0"/>
          <w:spacing w:val="-6"/>
          <w:w w:val="100"/>
          <w:kern w:val="2"/>
          <w:sz w:val="32"/>
          <w:szCs w:val="32"/>
          <w:lang w:val="en-US" w:eastAsia="zh-CN" w:bidi="ar-SA"/>
        </w:rPr>
        <w:t>灵丘县豪洋新型建材科技开发有限公司年生产60万吨细粒砂石原料项目</w:t>
      </w:r>
      <w:r>
        <w:rPr>
          <w:rStyle w:val="10"/>
          <w:rFonts w:ascii="仿宋_GB2312" w:hAnsi="仿宋" w:eastAsia="仿宋_GB2312"/>
          <w:b w:val="0"/>
          <w:i w:val="0"/>
          <w:caps w:val="0"/>
          <w:spacing w:val="-6"/>
          <w:w w:val="100"/>
          <w:kern w:val="2"/>
          <w:sz w:val="32"/>
          <w:szCs w:val="32"/>
          <w:lang w:val="en-US" w:eastAsia="zh-CN" w:bidi="ar-SA"/>
        </w:rPr>
        <w:t>环境影响报告表》（以下简称《报告表》）相关材料收悉。</w:t>
      </w:r>
      <w:r>
        <w:rPr>
          <w:rStyle w:val="10"/>
          <w:rFonts w:hint="eastAsia" w:ascii="仿宋_GB2312" w:hAnsi="仿宋" w:eastAsia="仿宋_GB2312"/>
          <w:b w:val="0"/>
          <w:i w:val="0"/>
          <w:caps w:val="0"/>
          <w:spacing w:val="-6"/>
          <w:w w:val="100"/>
          <w:kern w:val="2"/>
          <w:sz w:val="32"/>
          <w:szCs w:val="32"/>
          <w:lang w:val="en-US" w:eastAsia="zh-CN" w:bidi="ar-SA"/>
        </w:rPr>
        <w:t>结合大同市生态环境评估中心出具的《关于&lt;灵丘县豪洋新型建材科技开发有限公司年生产60万吨细粒砂石原料项目环境影响报告表&gt;的技术评估报告》，</w:t>
      </w:r>
      <w:r>
        <w:rPr>
          <w:rStyle w:val="10"/>
          <w:rFonts w:ascii="仿宋_GB2312" w:hAnsi="仿宋_GB2312" w:eastAsia="仿宋_GB2312"/>
          <w:b w:val="0"/>
          <w:i w:val="0"/>
          <w:caps w:val="0"/>
          <w:spacing w:val="-6"/>
          <w:w w:val="100"/>
          <w:kern w:val="2"/>
          <w:sz w:val="32"/>
          <w:szCs w:val="32"/>
          <w:lang w:val="en-US" w:eastAsia="zh-CN" w:bidi="ar-SA"/>
        </w:rPr>
        <w:t>经研究，批复如下：</w:t>
      </w:r>
    </w:p>
    <w:p w14:paraId="6568759F">
      <w:pPr>
        <w:pStyle w:val="11"/>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right="0" w:firstLine="616" w:firstLineChars="200"/>
        <w:jc w:val="both"/>
        <w:textAlignment w:val="baseline"/>
        <w:rPr>
          <w:rStyle w:val="10"/>
          <w:rFonts w:ascii="仿宋_GB2312" w:hAnsi="仿宋_GB2312" w:eastAsia="仿宋_GB2312"/>
          <w:b w:val="0"/>
          <w:i w:val="0"/>
          <w:caps w:val="0"/>
          <w:color w:val="000000"/>
          <w:spacing w:val="-6"/>
          <w:w w:val="100"/>
          <w:sz w:val="32"/>
          <w:szCs w:val="32"/>
          <w:lang w:val="en-US" w:eastAsia="zh-CN" w:bidi="ar-SA"/>
        </w:rPr>
      </w:pPr>
      <w:r>
        <w:rPr>
          <w:rStyle w:val="10"/>
          <w:rFonts w:ascii="仿宋_GB2312" w:hAnsi="仿宋" w:eastAsia="仿宋_GB2312"/>
          <w:b w:val="0"/>
          <w:i w:val="0"/>
          <w:caps w:val="0"/>
          <w:color w:val="000000"/>
          <w:spacing w:val="-6"/>
          <w:w w:val="100"/>
          <w:sz w:val="32"/>
          <w:szCs w:val="32"/>
          <w:lang w:val="en-US" w:eastAsia="zh-CN" w:bidi="ar-SA"/>
        </w:rPr>
        <w:t>一、该项目</w:t>
      </w:r>
      <w:r>
        <w:rPr>
          <w:rStyle w:val="10"/>
          <w:rFonts w:hint="eastAsia" w:ascii="仿宋_GB2312" w:hAnsi="仿宋" w:eastAsia="仿宋_GB2312"/>
          <w:b w:val="0"/>
          <w:i w:val="0"/>
          <w:caps w:val="0"/>
          <w:color w:val="000000"/>
          <w:spacing w:val="-6"/>
          <w:w w:val="100"/>
          <w:sz w:val="32"/>
          <w:szCs w:val="32"/>
          <w:lang w:val="en-US" w:eastAsia="zh-CN" w:bidi="ar-SA"/>
        </w:rPr>
        <w:t>位于山西省大同市灵丘县赵北乡鹿沟村西北600米处</w:t>
      </w:r>
      <w:r>
        <w:rPr>
          <w:rStyle w:val="10"/>
          <w:rFonts w:hint="eastAsia" w:ascii="仿宋_GB2312" w:hAnsi="仿宋" w:eastAsia="仿宋_GB2312"/>
          <w:b w:val="0"/>
          <w:i w:val="0"/>
          <w:caps w:val="0"/>
          <w:color w:val="auto"/>
          <w:spacing w:val="-6"/>
          <w:w w:val="100"/>
          <w:sz w:val="32"/>
          <w:szCs w:val="32"/>
          <w:lang w:val="en-US" w:eastAsia="zh-CN" w:bidi="ar-SA"/>
        </w:rPr>
        <w:t>。</w:t>
      </w:r>
      <w:r>
        <w:rPr>
          <w:rStyle w:val="10"/>
          <w:rFonts w:hint="default" w:ascii="仿宋_GB2312" w:hAnsi="仿宋" w:eastAsia="仿宋_GB2312" w:cs="Times New Roman"/>
          <w:b w:val="0"/>
          <w:i w:val="0"/>
          <w:caps w:val="0"/>
          <w:spacing w:val="-6"/>
          <w:w w:val="100"/>
          <w:kern w:val="2"/>
          <w:sz w:val="32"/>
          <w:szCs w:val="32"/>
          <w:lang w:val="en-US" w:eastAsia="zh-CN" w:bidi="ar-SA"/>
        </w:rPr>
        <w:t>用地面积</w:t>
      </w:r>
      <w:r>
        <w:rPr>
          <w:rStyle w:val="10"/>
          <w:rFonts w:hint="eastAsia" w:ascii="仿宋_GB2312" w:hAnsi="仿宋" w:eastAsia="仿宋_GB2312"/>
          <w:b w:val="0"/>
          <w:i w:val="0"/>
          <w:caps w:val="0"/>
          <w:color w:val="auto"/>
          <w:spacing w:val="-6"/>
          <w:w w:val="100"/>
          <w:sz w:val="32"/>
          <w:szCs w:val="32"/>
          <w:lang w:val="en-US" w:eastAsia="zh-CN" w:bidi="ar-SA"/>
        </w:rPr>
        <w:t>4466.67</w:t>
      </w:r>
      <w:r>
        <w:rPr>
          <w:rStyle w:val="10"/>
          <w:rFonts w:hint="default" w:ascii="仿宋_GB2312" w:hAnsi="仿宋" w:eastAsia="仿宋_GB2312" w:cs="Times New Roman"/>
          <w:b w:val="0"/>
          <w:i w:val="0"/>
          <w:caps w:val="0"/>
          <w:spacing w:val="-6"/>
          <w:w w:val="100"/>
          <w:kern w:val="2"/>
          <w:sz w:val="32"/>
          <w:szCs w:val="32"/>
          <w:lang w:val="en-US" w:eastAsia="zh-CN" w:bidi="ar-SA"/>
        </w:rPr>
        <w:t>m</w:t>
      </w:r>
      <w:r>
        <w:rPr>
          <w:rStyle w:val="10"/>
          <w:rFonts w:hint="default" w:ascii="仿宋_GB2312" w:hAnsi="仿宋" w:eastAsia="仿宋_GB2312" w:cs="Times New Roman"/>
          <w:b w:val="0"/>
          <w:i w:val="0"/>
          <w:caps w:val="0"/>
          <w:spacing w:val="-6"/>
          <w:w w:val="100"/>
          <w:kern w:val="2"/>
          <w:sz w:val="32"/>
          <w:szCs w:val="32"/>
          <w:vertAlign w:val="superscript"/>
          <w:lang w:val="en-US" w:eastAsia="zh-CN" w:bidi="ar-SA"/>
        </w:rPr>
        <w:t>2</w:t>
      </w:r>
      <w:r>
        <w:rPr>
          <w:rStyle w:val="10"/>
          <w:rFonts w:hint="eastAsia" w:ascii="仿宋_GB2312" w:hAnsi="仿宋" w:eastAsia="仿宋_GB2312" w:cs="Times New Roman"/>
          <w:b w:val="0"/>
          <w:i w:val="0"/>
          <w:caps w:val="0"/>
          <w:spacing w:val="-6"/>
          <w:w w:val="100"/>
          <w:kern w:val="2"/>
          <w:sz w:val="32"/>
          <w:szCs w:val="32"/>
          <w:lang w:val="en-US" w:eastAsia="zh-CN" w:bidi="ar-SA"/>
        </w:rPr>
        <w:t>，新建1条年生产60万吨细粒砂石原料生产线。建设内容为：建设生产车间1200平方米，安装颚式破碎机、圆锥破碎机、振动筛等加工设备，配套建设原料库、产品库以及交通、通讯、照明运行管理设施等。</w:t>
      </w:r>
      <w:r>
        <w:rPr>
          <w:rStyle w:val="10"/>
          <w:rFonts w:ascii="仿宋_GB2312" w:hAnsi="仿宋" w:eastAsia="仿宋_GB2312"/>
          <w:b w:val="0"/>
          <w:i w:val="0"/>
          <w:caps w:val="0"/>
          <w:color w:val="auto"/>
          <w:spacing w:val="-6"/>
          <w:w w:val="100"/>
          <w:sz w:val="32"/>
          <w:szCs w:val="32"/>
          <w:lang w:val="en-US" w:eastAsia="zh-CN" w:bidi="ar-SA"/>
        </w:rPr>
        <w:t>项目总投资为</w:t>
      </w:r>
      <w:r>
        <w:rPr>
          <w:rStyle w:val="10"/>
          <w:rFonts w:hint="eastAsia" w:ascii="仿宋_GB2312" w:hAnsi="仿宋" w:eastAsia="仿宋_GB2312"/>
          <w:b w:val="0"/>
          <w:i w:val="0"/>
          <w:caps w:val="0"/>
          <w:color w:val="auto"/>
          <w:spacing w:val="-6"/>
          <w:w w:val="100"/>
          <w:sz w:val="32"/>
          <w:szCs w:val="32"/>
          <w:lang w:val="en-US" w:eastAsia="zh-CN" w:bidi="ar-SA"/>
        </w:rPr>
        <w:t>1260</w:t>
      </w:r>
      <w:r>
        <w:rPr>
          <w:rStyle w:val="10"/>
          <w:rFonts w:ascii="仿宋_GB2312" w:hAnsi="仿宋" w:eastAsia="仿宋_GB2312"/>
          <w:b w:val="0"/>
          <w:i w:val="0"/>
          <w:caps w:val="0"/>
          <w:color w:val="auto"/>
          <w:spacing w:val="-6"/>
          <w:w w:val="100"/>
          <w:sz w:val="32"/>
          <w:szCs w:val="32"/>
          <w:lang w:val="en-US" w:eastAsia="zh-CN" w:bidi="ar-SA"/>
        </w:rPr>
        <w:t>万元，环保投资</w:t>
      </w:r>
      <w:r>
        <w:rPr>
          <w:rStyle w:val="10"/>
          <w:rFonts w:hint="eastAsia" w:ascii="仿宋_GB2312" w:hAnsi="仿宋" w:eastAsia="仿宋_GB2312"/>
          <w:b w:val="0"/>
          <w:i w:val="0"/>
          <w:caps w:val="0"/>
          <w:color w:val="auto"/>
          <w:spacing w:val="-6"/>
          <w:w w:val="100"/>
          <w:sz w:val="32"/>
          <w:szCs w:val="32"/>
          <w:lang w:val="en-US" w:eastAsia="zh-CN" w:bidi="ar-SA"/>
        </w:rPr>
        <w:t>146</w:t>
      </w:r>
      <w:r>
        <w:rPr>
          <w:rStyle w:val="10"/>
          <w:rFonts w:ascii="仿宋_GB2312" w:hAnsi="仿宋" w:eastAsia="仿宋_GB2312"/>
          <w:b w:val="0"/>
          <w:i w:val="0"/>
          <w:caps w:val="0"/>
          <w:color w:val="auto"/>
          <w:spacing w:val="-6"/>
          <w:w w:val="100"/>
          <w:sz w:val="32"/>
          <w:szCs w:val="32"/>
          <w:lang w:val="en-US" w:eastAsia="zh-CN" w:bidi="ar-SA"/>
        </w:rPr>
        <w:t>万元，占总投资比例的</w:t>
      </w:r>
      <w:r>
        <w:rPr>
          <w:rStyle w:val="10"/>
          <w:rFonts w:hint="eastAsia" w:ascii="仿宋_GB2312" w:hAnsi="仿宋" w:eastAsia="仿宋_GB2312"/>
          <w:b w:val="0"/>
          <w:i w:val="0"/>
          <w:caps w:val="0"/>
          <w:color w:val="auto"/>
          <w:spacing w:val="-6"/>
          <w:w w:val="100"/>
          <w:sz w:val="32"/>
          <w:szCs w:val="32"/>
          <w:lang w:val="en-US" w:eastAsia="zh-CN" w:bidi="ar-SA"/>
        </w:rPr>
        <w:t>11.59%</w:t>
      </w:r>
      <w:r>
        <w:rPr>
          <w:rStyle w:val="10"/>
          <w:rFonts w:ascii="仿宋_GB2312" w:hAnsi="仿宋" w:eastAsia="仿宋_GB2312"/>
          <w:b w:val="0"/>
          <w:i w:val="0"/>
          <w:caps w:val="0"/>
          <w:color w:val="auto"/>
          <w:spacing w:val="-6"/>
          <w:w w:val="100"/>
          <w:sz w:val="32"/>
          <w:szCs w:val="32"/>
          <w:lang w:val="en-US" w:eastAsia="zh-CN" w:bidi="ar-SA"/>
        </w:rPr>
        <w:t>。</w:t>
      </w:r>
      <w:r>
        <w:rPr>
          <w:rStyle w:val="10"/>
          <w:rFonts w:hint="eastAsia" w:ascii="仿宋_GB2312" w:hAnsi="仿宋" w:eastAsia="仿宋_GB2312"/>
          <w:b w:val="0"/>
          <w:i w:val="0"/>
          <w:caps w:val="0"/>
          <w:color w:val="000000"/>
          <w:spacing w:val="-6"/>
          <w:w w:val="100"/>
          <w:sz w:val="32"/>
          <w:szCs w:val="32"/>
          <w:lang w:val="en-US" w:eastAsia="zh-CN" w:bidi="ar-SA"/>
        </w:rPr>
        <w:t>根据国家发展和改革委员会发布实施的《产业结构调整指导目录（2024年本）》，该项目属于允许类，且项目已取得灵丘县发展改革和科技局下发的备案证，项目代码为“2404-140224-89-01-208118”。</w:t>
      </w:r>
      <w:r>
        <w:rPr>
          <w:rStyle w:val="10"/>
          <w:rFonts w:ascii="仿宋_GB2312" w:hAnsi="仿宋" w:eastAsia="仿宋_GB2312"/>
          <w:b w:val="0"/>
          <w:i w:val="0"/>
          <w:caps w:val="0"/>
          <w:color w:val="000000"/>
          <w:spacing w:val="-6"/>
          <w:w w:val="100"/>
          <w:sz w:val="32"/>
          <w:szCs w:val="32"/>
          <w:lang w:val="en-US" w:eastAsia="zh-CN" w:bidi="ar-SA"/>
        </w:rPr>
        <w:t>在全面落实《报告表》提出的污染防治和生态保护措施的前提下，工程建设对环境的不利影响可得到缓解和控制。我</w:t>
      </w:r>
      <w:r>
        <w:rPr>
          <w:rStyle w:val="10"/>
          <w:rFonts w:hint="eastAsia" w:ascii="仿宋_GB2312" w:hAnsi="仿宋" w:eastAsia="仿宋_GB2312"/>
          <w:b w:val="0"/>
          <w:i w:val="0"/>
          <w:caps w:val="0"/>
          <w:color w:val="000000"/>
          <w:spacing w:val="-6"/>
          <w:w w:val="100"/>
          <w:sz w:val="32"/>
          <w:szCs w:val="32"/>
          <w:lang w:val="en-US" w:eastAsia="zh-CN" w:bidi="ar-SA"/>
        </w:rPr>
        <w:t>分</w:t>
      </w:r>
      <w:r>
        <w:rPr>
          <w:rStyle w:val="10"/>
          <w:rFonts w:ascii="仿宋_GB2312" w:hAnsi="仿宋" w:eastAsia="仿宋_GB2312"/>
          <w:b w:val="0"/>
          <w:i w:val="0"/>
          <w:caps w:val="0"/>
          <w:color w:val="000000"/>
          <w:spacing w:val="-6"/>
          <w:w w:val="100"/>
          <w:sz w:val="32"/>
          <w:szCs w:val="32"/>
          <w:lang w:val="en-US" w:eastAsia="zh-CN" w:bidi="ar-SA"/>
        </w:rPr>
        <w:t>局原则同意《报告表》所列建设项目的性质、规模、地点、采用的生产工艺和采取的环境保护措施。</w:t>
      </w:r>
    </w:p>
    <w:p w14:paraId="2DD36067">
      <w:pPr>
        <w:pStyle w:val="11"/>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right="0" w:firstLine="616" w:firstLineChars="200"/>
        <w:jc w:val="both"/>
        <w:textAlignment w:val="baseline"/>
        <w:rPr>
          <w:rStyle w:val="10"/>
          <w:rFonts w:ascii="仿宋_GB2312" w:hAnsi="仿宋_GB2312" w:eastAsia="仿宋_GB2312"/>
          <w:b w:val="0"/>
          <w:i w:val="0"/>
          <w:caps w:val="0"/>
          <w:color w:val="00000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二、</w:t>
      </w:r>
      <w:r>
        <w:rPr>
          <w:rStyle w:val="10"/>
          <w:rFonts w:ascii="仿宋_GB2312" w:hAnsi="仿宋_GB2312" w:eastAsia="仿宋_GB2312"/>
          <w:b w:val="0"/>
          <w:i w:val="0"/>
          <w:caps w:val="0"/>
          <w:color w:val="000000"/>
          <w:spacing w:val="-6"/>
          <w:w w:val="100"/>
          <w:kern w:val="2"/>
          <w:sz w:val="32"/>
          <w:szCs w:val="32"/>
          <w:lang w:val="en-US" w:eastAsia="zh-CN" w:bidi="ar-SA"/>
        </w:rPr>
        <w:t>在项目建设和运行管理中，必须对照《报告表》逐一落实各项环保对策措施，重点做好以下工作：</w:t>
      </w:r>
    </w:p>
    <w:p w14:paraId="3879ADD9">
      <w:pPr>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firstLine="616" w:firstLineChars="200"/>
        <w:jc w:val="both"/>
        <w:textAlignment w:val="baseline"/>
        <w:rPr>
          <w:rStyle w:val="10"/>
          <w:rFonts w:ascii="仿宋_GB2312" w:hAnsi="仿宋_GB2312" w:eastAsia="仿宋_GB2312"/>
          <w:b w:val="0"/>
          <w:i w:val="0"/>
          <w:caps w:val="0"/>
          <w:color w:val="000000"/>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1、认真做好施工期环境保护工作，</w:t>
      </w:r>
      <w:r>
        <w:rPr>
          <w:rStyle w:val="10"/>
          <w:rFonts w:hint="eastAsia" w:ascii="仿宋_GB2312" w:hAnsi="仿宋_GB2312" w:eastAsia="仿宋_GB2312"/>
          <w:b w:val="0"/>
          <w:i w:val="0"/>
          <w:caps w:val="0"/>
          <w:color w:val="000000"/>
          <w:spacing w:val="-6"/>
          <w:w w:val="100"/>
          <w:kern w:val="2"/>
          <w:sz w:val="32"/>
          <w:szCs w:val="32"/>
          <w:lang w:val="en-US" w:eastAsia="zh-CN" w:bidi="ar-SA"/>
        </w:rPr>
        <w:t>施工过程严格落实“六个百分之百”，</w:t>
      </w:r>
      <w:r>
        <w:rPr>
          <w:rStyle w:val="10"/>
          <w:rFonts w:ascii="仿宋_GB2312" w:hAnsi="仿宋_GB2312" w:eastAsia="仿宋_GB2312"/>
          <w:b w:val="0"/>
          <w:i w:val="0"/>
          <w:caps w:val="0"/>
          <w:color w:val="000000"/>
          <w:spacing w:val="-6"/>
          <w:w w:val="100"/>
          <w:kern w:val="2"/>
          <w:sz w:val="32"/>
          <w:szCs w:val="32"/>
          <w:lang w:val="en-US" w:eastAsia="zh-CN" w:bidi="ar-SA"/>
        </w:rPr>
        <w:t>加强</w:t>
      </w:r>
      <w:r>
        <w:rPr>
          <w:rStyle w:val="10"/>
          <w:rFonts w:hint="eastAsia" w:ascii="仿宋_GB2312" w:hAnsi="仿宋_GB2312" w:eastAsia="仿宋_GB2312"/>
          <w:b w:val="0"/>
          <w:i w:val="0"/>
          <w:caps w:val="0"/>
          <w:color w:val="000000"/>
          <w:spacing w:val="-6"/>
          <w:w w:val="100"/>
          <w:kern w:val="2"/>
          <w:sz w:val="32"/>
          <w:szCs w:val="32"/>
          <w:lang w:val="en-US" w:eastAsia="zh-CN" w:bidi="ar-SA"/>
        </w:rPr>
        <w:t>废水、噪声、固体废物</w:t>
      </w:r>
      <w:r>
        <w:rPr>
          <w:rStyle w:val="10"/>
          <w:rFonts w:ascii="仿宋_GB2312" w:hAnsi="仿宋_GB2312" w:eastAsia="仿宋_GB2312"/>
          <w:b w:val="0"/>
          <w:i w:val="0"/>
          <w:caps w:val="0"/>
          <w:color w:val="000000"/>
          <w:spacing w:val="-6"/>
          <w:w w:val="100"/>
          <w:kern w:val="2"/>
          <w:sz w:val="32"/>
          <w:szCs w:val="32"/>
          <w:lang w:val="en-US" w:eastAsia="zh-CN" w:bidi="ar-SA"/>
        </w:rPr>
        <w:t>环境管理，落实《报</w:t>
      </w:r>
      <w:r>
        <w:rPr>
          <w:rStyle w:val="10"/>
          <w:rFonts w:ascii="仿宋_GB2312" w:hAnsi="仿宋_GB2312" w:eastAsia="仿宋_GB2312"/>
          <w:b w:val="0"/>
          <w:i w:val="0"/>
          <w:caps w:val="0"/>
          <w:color w:val="000000"/>
          <w:spacing w:val="-6"/>
          <w:w w:val="100"/>
          <w:kern w:val="2"/>
          <w:sz w:val="32"/>
          <w:szCs w:val="32"/>
          <w:lang w:val="en-US" w:eastAsia="zh-CN" w:bidi="ar-SA"/>
        </w:rPr>
        <w:t>告表》提出的各项污染防治及生态保护措施，降低对周边的影响。</w:t>
      </w:r>
    </w:p>
    <w:p w14:paraId="4BD84CEE">
      <w:pPr>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firstLine="616" w:firstLineChars="200"/>
        <w:jc w:val="both"/>
        <w:textAlignment w:val="baseline"/>
        <w:rPr>
          <w:rStyle w:val="10"/>
          <w:rFonts w:ascii="仿宋_GB2312" w:hAnsi="仿宋_GB2312" w:eastAsia="仿宋_GB2312"/>
          <w:b w:val="0"/>
          <w:i w:val="0"/>
          <w:caps w:val="0"/>
          <w:color w:val="0000FF"/>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2、废气污染防治措施。运营期</w:t>
      </w:r>
      <w:r>
        <w:rPr>
          <w:rStyle w:val="10"/>
          <w:rFonts w:hint="eastAsia" w:ascii="仿宋_GB2312" w:hAnsi="仿宋_GB2312" w:eastAsia="仿宋_GB2312"/>
          <w:b w:val="0"/>
          <w:i w:val="0"/>
          <w:caps w:val="0"/>
          <w:color w:val="000000"/>
          <w:spacing w:val="-6"/>
          <w:w w:val="100"/>
          <w:kern w:val="2"/>
          <w:sz w:val="32"/>
          <w:szCs w:val="32"/>
          <w:lang w:val="en-US" w:eastAsia="zh-CN" w:bidi="ar-SA"/>
        </w:rPr>
        <w:t>，破碎、筛分设置全封闭生产车间，在给料机料斗入料口、各级破碎机物料跌落点上方、各筛分机物料跌落点上方分别设置顶吸式集气罩，收集后的粉尘经布袋除尘器处理后通过15m排气筒排放。</w:t>
      </w:r>
      <w:r>
        <w:rPr>
          <w:rStyle w:val="10"/>
          <w:rFonts w:hint="eastAsia" w:ascii="仿宋_GB2312" w:hAnsi="仿宋_GB2312" w:eastAsia="仿宋_GB2312"/>
          <w:b w:val="0"/>
          <w:i w:val="0"/>
          <w:caps w:val="0"/>
          <w:color w:val="auto"/>
          <w:spacing w:val="-6"/>
          <w:w w:val="100"/>
          <w:kern w:val="2"/>
          <w:sz w:val="32"/>
          <w:szCs w:val="32"/>
          <w:lang w:val="en-US" w:eastAsia="zh-CN" w:bidi="ar-SA"/>
        </w:rPr>
        <w:t>全封闭原料库、生产车间、成品库内分别设置一套雾炮，适时酒水抑尘，有效控制无组织粉尘。</w:t>
      </w:r>
      <w:r>
        <w:rPr>
          <w:rStyle w:val="10"/>
          <w:rFonts w:hint="eastAsia" w:ascii="仿宋_GB2312" w:hAnsi="仿宋_GB2312" w:eastAsia="仿宋_GB2312"/>
          <w:b w:val="0"/>
          <w:i w:val="0"/>
          <w:caps w:val="0"/>
          <w:color w:val="000000"/>
          <w:spacing w:val="-6"/>
          <w:w w:val="100"/>
          <w:kern w:val="2"/>
          <w:sz w:val="32"/>
          <w:szCs w:val="32"/>
          <w:lang w:val="en-US" w:eastAsia="zh-CN" w:bidi="ar-SA"/>
        </w:rPr>
        <w:t>输送转载，皮带全封闭、进料端加胶皮挡帘；项目进场道路硬化，道路两侧进行绿化；并在项目场地出入口设车辆轮胎清洗平台；并设专用洒水车，在运输道路定期洒水降尘，保持路面清洁和相对湿度；对外运输汽车加盖篷布，限制超载。运营期产生的颗粒物排放执行《大气污染物综合排放标准》（GB16297-1996）表2中二级标准。</w:t>
      </w:r>
    </w:p>
    <w:p w14:paraId="668F4B9E">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firstLine="616" w:firstLineChars="200"/>
        <w:jc w:val="both"/>
        <w:textAlignment w:val="baseline"/>
        <w:rPr>
          <w:rStyle w:val="10"/>
          <w:rFonts w:ascii="仿宋_GB2312" w:hAnsi="仿宋_GB2312" w:eastAsia="仿宋_GB2312"/>
          <w:b w:val="0"/>
          <w:i w:val="0"/>
          <w:caps w:val="0"/>
          <w:color w:val="000000"/>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3、废水污染防治措施。</w:t>
      </w:r>
      <w:r>
        <w:rPr>
          <w:rStyle w:val="10"/>
          <w:rFonts w:hint="eastAsia" w:ascii="仿宋_GB2312" w:hAnsi="仿宋_GB2312" w:eastAsia="仿宋_GB2312"/>
          <w:b w:val="0"/>
          <w:i w:val="0"/>
          <w:caps w:val="0"/>
          <w:color w:val="000000"/>
          <w:spacing w:val="-6"/>
          <w:w w:val="100"/>
          <w:kern w:val="2"/>
          <w:sz w:val="32"/>
          <w:szCs w:val="32"/>
          <w:lang w:val="en-US" w:eastAsia="zh-CN" w:bidi="ar-SA"/>
        </w:rPr>
        <w:t>运营期在厂区入口处设置洗车平台，并建设沉淀池，洗车废水经沉淀池沉淀后循环利用，不外排；生活污水排入防渗旱厕，定期清掏；在厂区地势较低处建设一座300m</w:t>
      </w:r>
      <w:r>
        <w:rPr>
          <w:rStyle w:val="10"/>
          <w:rFonts w:hint="eastAsia" w:ascii="仿宋_GB2312" w:hAnsi="仿宋_GB2312" w:eastAsia="仿宋_GB2312"/>
          <w:b w:val="0"/>
          <w:i w:val="0"/>
          <w:caps w:val="0"/>
          <w:color w:val="000000"/>
          <w:spacing w:val="-6"/>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6"/>
          <w:w w:val="100"/>
          <w:kern w:val="2"/>
          <w:sz w:val="32"/>
          <w:szCs w:val="32"/>
          <w:lang w:val="en-US" w:eastAsia="zh-CN" w:bidi="ar-SA"/>
        </w:rPr>
        <w:t>初期雨水收集池，收集后经沉淀全部回用于厂区地面及道路洒水抑尘，不外排。</w:t>
      </w:r>
    </w:p>
    <w:p w14:paraId="45742F50">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firstLine="640"/>
        <w:jc w:val="both"/>
        <w:textAlignment w:val="baseline"/>
        <w:rPr>
          <w:rStyle w:val="10"/>
          <w:rFonts w:ascii="仿宋_GB2312" w:hAnsi="仿宋_GB2312" w:eastAsia="仿宋_GB2312"/>
          <w:b w:val="0"/>
          <w:i w:val="0"/>
          <w:caps w:val="0"/>
          <w:color w:val="000000"/>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4、噪声污染防治措施。</w:t>
      </w:r>
      <w:r>
        <w:rPr>
          <w:rStyle w:val="10"/>
          <w:rFonts w:hint="eastAsia" w:ascii="仿宋_GB2312" w:hAnsi="仿宋_GB2312" w:eastAsia="仿宋_GB2312"/>
          <w:b w:val="0"/>
          <w:i w:val="0"/>
          <w:caps w:val="0"/>
          <w:color w:val="000000"/>
          <w:spacing w:val="-6"/>
          <w:w w:val="100"/>
          <w:kern w:val="2"/>
          <w:sz w:val="32"/>
          <w:szCs w:val="32"/>
          <w:lang w:val="en-US" w:eastAsia="zh-CN" w:bidi="ar-SA"/>
        </w:rPr>
        <w:t>运营期要选用低噪声设备，隔声、基础减振，定期维护，加强管理。运营期厂界噪声排放执行《工业企业厂界环境噪声排放标准》（GB12348-2008）2类标准。</w:t>
      </w:r>
    </w:p>
    <w:p w14:paraId="578D42DF">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firstLine="640"/>
        <w:jc w:val="both"/>
        <w:textAlignment w:val="baseline"/>
        <w:rPr>
          <w:rStyle w:val="10"/>
          <w:rFonts w:ascii="仿宋_GB2312" w:hAnsi="仿宋_GB2312" w:eastAsia="仿宋_GB2312"/>
          <w:b w:val="0"/>
          <w:i w:val="0"/>
          <w:caps w:val="0"/>
          <w:color w:val="auto"/>
          <w:spacing w:val="-6"/>
          <w:w w:val="100"/>
          <w:kern w:val="2"/>
          <w:sz w:val="32"/>
          <w:szCs w:val="32"/>
          <w:lang w:val="en-US" w:eastAsia="zh-CN" w:bidi="ar-SA"/>
        </w:rPr>
      </w:pPr>
      <w:r>
        <w:rPr>
          <w:rStyle w:val="10"/>
          <w:rFonts w:ascii="仿宋_GB2312" w:hAnsi="仿宋_GB2312" w:eastAsia="仿宋_GB2312"/>
          <w:b w:val="0"/>
          <w:i w:val="0"/>
          <w:caps w:val="0"/>
          <w:color w:val="000000"/>
          <w:spacing w:val="-6"/>
          <w:w w:val="100"/>
          <w:kern w:val="2"/>
          <w:sz w:val="32"/>
          <w:szCs w:val="32"/>
          <w:lang w:val="en-US" w:eastAsia="zh-CN" w:bidi="ar-SA"/>
        </w:rPr>
        <w:t>5、固体废物污染防治措施。运营期</w:t>
      </w:r>
      <w:r>
        <w:rPr>
          <w:rStyle w:val="10"/>
          <w:rFonts w:hint="eastAsia" w:ascii="仿宋_GB2312" w:hAnsi="仿宋_GB2312" w:eastAsia="仿宋_GB2312"/>
          <w:b w:val="0"/>
          <w:i w:val="0"/>
          <w:caps w:val="0"/>
          <w:color w:val="000000"/>
          <w:spacing w:val="-6"/>
          <w:w w:val="100"/>
          <w:kern w:val="2"/>
          <w:sz w:val="32"/>
          <w:szCs w:val="32"/>
          <w:lang w:val="en-US" w:eastAsia="zh-CN" w:bidi="ar-SA"/>
        </w:rPr>
        <w:t>除尘灰作为石粉外售综合利用；废矿物油等暂存于危废贮存库，定期交由有资质单位处置；在厂区内设带盖生活垃圾收集箱，收集后送环卫部门指定地点。运营期</w:t>
      </w:r>
      <w:r>
        <w:rPr>
          <w:rStyle w:val="10"/>
          <w:rFonts w:hint="eastAsia" w:ascii="仿宋_GB2312" w:hAnsi="仿宋_GB2312" w:eastAsia="仿宋_GB2312"/>
          <w:b w:val="0"/>
          <w:i w:val="0"/>
          <w:caps w:val="0"/>
          <w:color w:val="auto"/>
          <w:spacing w:val="-6"/>
          <w:w w:val="100"/>
          <w:kern w:val="2"/>
          <w:sz w:val="32"/>
          <w:szCs w:val="32"/>
          <w:lang w:val="en-US" w:eastAsia="zh-CN" w:bidi="ar-SA"/>
        </w:rPr>
        <w:t>一般工业固体废物贮存和处置执行《一般工业固体废物贮存和填埋污染控制标准》(GB 18599-2020)中的相关要求；采用库房、包装工具（罐、桶、包装袋等）贮存一般工业固体废物的，其贮存过程应满足防渗漏、防雨淋、防扬尘等环境保护要求。危险废物执行《危险废物贮存污染控制标准》（GB18597-2023）中的有关规定。</w:t>
      </w:r>
    </w:p>
    <w:p w14:paraId="2A1C01D8">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firstLine="616" w:firstLineChars="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6、加强</w:t>
      </w:r>
      <w:r>
        <w:rPr>
          <w:rStyle w:val="10"/>
          <w:rFonts w:hint="eastAsia" w:ascii="仿宋_GB2312" w:hAnsi="仿宋_GB2312" w:eastAsia="仿宋_GB2312"/>
          <w:b w:val="0"/>
          <w:i w:val="0"/>
          <w:caps w:val="0"/>
          <w:spacing w:val="-6"/>
          <w:w w:val="100"/>
          <w:kern w:val="2"/>
          <w:sz w:val="32"/>
          <w:szCs w:val="32"/>
          <w:lang w:val="en-US" w:eastAsia="zh-CN" w:bidi="ar-SA"/>
        </w:rPr>
        <w:t>厂</w:t>
      </w:r>
      <w:r>
        <w:rPr>
          <w:rStyle w:val="10"/>
          <w:rFonts w:ascii="仿宋_GB2312" w:hAnsi="仿宋_GB2312" w:eastAsia="仿宋_GB2312"/>
          <w:b w:val="0"/>
          <w:i w:val="0"/>
          <w:caps w:val="0"/>
          <w:spacing w:val="-6"/>
          <w:w w:val="100"/>
          <w:kern w:val="2"/>
          <w:sz w:val="32"/>
          <w:szCs w:val="32"/>
          <w:lang w:val="en-US" w:eastAsia="zh-CN" w:bidi="ar-SA"/>
        </w:rPr>
        <w:t>区的绿化美化工作，改善周边生态环境。</w:t>
      </w:r>
    </w:p>
    <w:p w14:paraId="0AAD806F">
      <w:pPr>
        <w:pStyle w:val="11"/>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right="0" w:firstLine="616" w:firstLineChars="200"/>
        <w:jc w:val="both"/>
        <w:textAlignment w:val="baseline"/>
        <w:rPr>
          <w:rStyle w:val="10"/>
          <w:rFonts w:hint="eastAsia" w:ascii="仿宋_GB2312" w:hAnsi="仿宋_GB2312" w:eastAsia="仿宋_GB2312"/>
          <w:b w:val="0"/>
          <w:i w:val="0"/>
          <w:caps w:val="0"/>
          <w:color w:val="auto"/>
          <w:spacing w:val="-6"/>
          <w:w w:val="100"/>
          <w:kern w:val="2"/>
          <w:sz w:val="32"/>
          <w:szCs w:val="32"/>
          <w:lang w:val="en-US" w:eastAsia="zh-CN" w:bidi="ar-SA"/>
        </w:rPr>
      </w:pPr>
      <w:r>
        <w:rPr>
          <w:rStyle w:val="10"/>
          <w:rFonts w:ascii="仿宋_GB2312" w:hAnsi="仿宋_GB2312" w:eastAsia="仿宋_GB2312"/>
          <w:b w:val="0"/>
          <w:i w:val="0"/>
          <w:caps w:val="0"/>
          <w:color w:val="auto"/>
          <w:spacing w:val="-6"/>
          <w:w w:val="100"/>
          <w:kern w:val="2"/>
          <w:sz w:val="32"/>
          <w:szCs w:val="32"/>
          <w:lang w:val="en-US" w:eastAsia="zh-CN" w:bidi="ar-SA"/>
        </w:rPr>
        <w:t>三、该项</w:t>
      </w:r>
      <w:r>
        <w:rPr>
          <w:rStyle w:val="10"/>
          <w:rFonts w:hint="eastAsia" w:ascii="仿宋_GB2312" w:hAnsi="仿宋_GB2312" w:eastAsia="仿宋_GB2312"/>
          <w:b w:val="0"/>
          <w:i w:val="0"/>
          <w:caps w:val="0"/>
          <w:color w:val="auto"/>
          <w:spacing w:val="-6"/>
          <w:w w:val="100"/>
          <w:kern w:val="2"/>
          <w:sz w:val="32"/>
          <w:szCs w:val="32"/>
          <w:lang w:val="en-US" w:eastAsia="zh-CN" w:bidi="ar-SA"/>
        </w:rPr>
        <w:t>目污染物排放量为颗粒物排放量为2.957t/a。</w:t>
      </w:r>
    </w:p>
    <w:p w14:paraId="74140179">
      <w:pPr>
        <w:pStyle w:val="11"/>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right="0" w:firstLine="616" w:firstLineChars="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四、加强对工程的环境管理和环境风险预测，制定突发环境事故应急预案及环境保护管理相关制度，采取合理有效措施防范环境风险，预防突发环境事件的发生。</w:t>
      </w:r>
    </w:p>
    <w:p w14:paraId="684D6A33">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right="0" w:firstLine="616" w:firstLineChars="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color w:val="292929"/>
          <w:spacing w:val="-6"/>
          <w:w w:val="100"/>
          <w:kern w:val="0"/>
          <w:sz w:val="32"/>
          <w:szCs w:val="32"/>
          <w:lang w:val="en-US" w:eastAsia="zh-CN" w:bidi="ar-SA"/>
        </w:rPr>
        <w:t>五、</w:t>
      </w:r>
      <w:r>
        <w:rPr>
          <w:rStyle w:val="10"/>
          <w:rFonts w:ascii="仿宋_GB2312" w:hAnsi="仿宋_GB2312" w:eastAsia="仿宋_GB2312"/>
          <w:b w:val="0"/>
          <w:i w:val="0"/>
          <w:caps w:val="0"/>
          <w:spacing w:val="-6"/>
          <w:w w:val="100"/>
          <w:kern w:val="2"/>
          <w:sz w:val="32"/>
          <w:szCs w:val="32"/>
          <w:lang w:val="en-US" w:eastAsia="zh-CN" w:bidi="ar-SA"/>
        </w:rPr>
        <w:t>项目建设要严格执行环保“三同时”制度。并按照《报告表》中提出的各项要求,积极落实各项污染防治措施。项目建成后须按规定进行环境保护竣工验收。环境保护措施未落实到位，不得正式投入运营；如项目的性质、规模、地点、采用的防</w:t>
      </w:r>
      <w:r>
        <w:rPr>
          <w:rStyle w:val="10"/>
          <w:rFonts w:ascii="仿宋_GB2312" w:hAnsi="仿宋_GB2312" w:eastAsia="仿宋_GB2312"/>
          <w:b w:val="0"/>
          <w:i w:val="0"/>
          <w:caps w:val="0"/>
          <w:spacing w:val="0"/>
          <w:w w:val="100"/>
          <w:kern w:val="2"/>
          <w:sz w:val="32"/>
          <w:szCs w:val="32"/>
          <w:lang w:val="en-US" w:eastAsia="zh-CN" w:bidi="ar-SA"/>
        </w:rPr>
        <w:t>治污染、防止生态破坏措施发生重大变动的，须报经我局重新审批。</w:t>
      </w:r>
    </w:p>
    <w:p w14:paraId="4B285281">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left="0" w:leftChars="0" w:right="0" w:firstLine="616" w:firstLineChars="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六、大同市灵丘县生态环境保护综合行政执法队负责该项目建设期及运营期日常监督管理工作。</w:t>
      </w:r>
    </w:p>
    <w:p w14:paraId="240A7B5D">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right="0" w:firstLine="3696" w:firstLineChars="1200"/>
        <w:jc w:val="both"/>
        <w:textAlignment w:val="baseline"/>
        <w:rPr>
          <w:rStyle w:val="10"/>
          <w:rFonts w:ascii="仿宋_GB2312" w:hAnsi="仿宋_GB2312" w:eastAsia="仿宋_GB2312"/>
          <w:b w:val="0"/>
          <w:i w:val="0"/>
          <w:caps w:val="0"/>
          <w:spacing w:val="-6"/>
          <w:w w:val="100"/>
          <w:kern w:val="2"/>
          <w:sz w:val="32"/>
          <w:szCs w:val="32"/>
          <w:lang w:val="en-US" w:eastAsia="zh-CN" w:bidi="ar-SA"/>
        </w:rPr>
      </w:pPr>
    </w:p>
    <w:p w14:paraId="31C964E7">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right="0" w:firstLine="2376" w:firstLineChars="1200"/>
        <w:jc w:val="both"/>
        <w:textAlignment w:val="baseline"/>
        <w:rPr>
          <w:rStyle w:val="10"/>
          <w:rFonts w:ascii="仿宋_GB2312" w:hAnsi="仿宋_GB2312" w:eastAsia="仿宋_GB2312"/>
          <w:b w:val="0"/>
          <w:i w:val="0"/>
          <w:caps w:val="0"/>
          <w:spacing w:val="-6"/>
          <w:w w:val="100"/>
          <w:kern w:val="2"/>
          <w:sz w:val="21"/>
          <w:szCs w:val="21"/>
          <w:lang w:val="en-US" w:eastAsia="zh-CN" w:bidi="ar-SA"/>
        </w:rPr>
      </w:pPr>
      <w:bookmarkStart w:id="0" w:name="_GoBack"/>
      <w:bookmarkEnd w:id="0"/>
    </w:p>
    <w:p w14:paraId="71B71324">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right="0" w:firstLine="3696" w:firstLineChars="1200"/>
        <w:jc w:val="both"/>
        <w:textAlignment w:val="baseline"/>
        <w:rPr>
          <w:rStyle w:val="10"/>
          <w:rFonts w:ascii="仿宋_GB2312" w:hAnsi="仿宋_GB2312" w:eastAsia="仿宋_GB2312"/>
          <w:b w:val="0"/>
          <w:i w:val="0"/>
          <w:caps w:val="0"/>
          <w:spacing w:val="-6"/>
          <w:w w:val="100"/>
          <w:kern w:val="2"/>
          <w:sz w:val="32"/>
          <w:szCs w:val="32"/>
          <w:lang w:val="en-US" w:eastAsia="zh-CN" w:bidi="ar-SA"/>
        </w:rPr>
      </w:pPr>
      <w:r>
        <w:rPr>
          <w:rStyle w:val="10"/>
          <w:rFonts w:ascii="仿宋_GB2312" w:hAnsi="仿宋_GB2312" w:eastAsia="仿宋_GB2312"/>
          <w:b w:val="0"/>
          <w:i w:val="0"/>
          <w:caps w:val="0"/>
          <w:spacing w:val="-6"/>
          <w:w w:val="100"/>
          <w:kern w:val="2"/>
          <w:sz w:val="32"/>
          <w:szCs w:val="32"/>
          <w:lang w:val="en-US" w:eastAsia="zh-CN" w:bidi="ar-SA"/>
        </w:rPr>
        <w:t>大同市生态环境局灵丘分局</w:t>
      </w:r>
    </w:p>
    <w:p w14:paraId="04CE240A">
      <w:pPr>
        <w:pStyle w:val="13"/>
        <w:keepNext w:val="0"/>
        <w:keepLines w:val="0"/>
        <w:pageBreakBefore w:val="0"/>
        <w:widowControl/>
        <w:kinsoku/>
        <w:wordWrap/>
        <w:overflowPunct w:val="0"/>
        <w:topLinePunct w:val="0"/>
        <w:autoSpaceDE/>
        <w:autoSpaceDN/>
        <w:bidi w:val="0"/>
        <w:adjustRightInd/>
        <w:snapToGrid/>
        <w:spacing w:before="0" w:beforeAutospacing="0" w:after="0" w:afterAutospacing="0" w:line="520" w:lineRule="exact"/>
        <w:ind w:right="0" w:firstLine="4312" w:firstLineChars="1400"/>
        <w:jc w:val="both"/>
        <w:textAlignment w:val="baseline"/>
        <w:rPr>
          <w:rFonts w:hint="eastAsia" w:ascii="仿宋" w:hAnsi="仿宋" w:eastAsia="仿宋" w:cs="仿宋"/>
          <w:color w:val="auto"/>
          <w:spacing w:val="68"/>
          <w:sz w:val="32"/>
          <w:szCs w:val="32"/>
          <w:u w:val="single"/>
          <w:lang w:val="en-US" w:eastAsia="zh-CN"/>
        </w:rPr>
      </w:pPr>
      <w:r>
        <w:rPr>
          <w:rStyle w:val="10"/>
          <w:rFonts w:ascii="仿宋_GB2312" w:hAnsi="仿宋_GB2312" w:eastAsia="仿宋_GB2312"/>
          <w:b w:val="0"/>
          <w:i w:val="0"/>
          <w:caps w:val="0"/>
          <w:spacing w:val="-6"/>
          <w:w w:val="100"/>
          <w:kern w:val="2"/>
          <w:sz w:val="32"/>
          <w:szCs w:val="32"/>
          <w:lang w:val="en-US" w:eastAsia="zh-CN" w:bidi="ar-SA"/>
        </w:rPr>
        <w:t>202</w:t>
      </w:r>
      <w:r>
        <w:rPr>
          <w:rStyle w:val="10"/>
          <w:rFonts w:hint="eastAsia" w:ascii="仿宋_GB2312" w:hAnsi="仿宋_GB2312" w:eastAsia="仿宋_GB2312"/>
          <w:b w:val="0"/>
          <w:i w:val="0"/>
          <w:caps w:val="0"/>
          <w:spacing w:val="-6"/>
          <w:w w:val="100"/>
          <w:kern w:val="2"/>
          <w:sz w:val="32"/>
          <w:szCs w:val="32"/>
          <w:lang w:val="en-US" w:eastAsia="zh-CN" w:bidi="ar-SA"/>
        </w:rPr>
        <w:t>5</w:t>
      </w:r>
      <w:r>
        <w:rPr>
          <w:rStyle w:val="10"/>
          <w:rFonts w:ascii="仿宋_GB2312" w:hAnsi="仿宋_GB2312" w:eastAsia="仿宋_GB2312"/>
          <w:b w:val="0"/>
          <w:i w:val="0"/>
          <w:caps w:val="0"/>
          <w:spacing w:val="-6"/>
          <w:w w:val="100"/>
          <w:kern w:val="2"/>
          <w:sz w:val="32"/>
          <w:szCs w:val="32"/>
          <w:lang w:val="en-US" w:eastAsia="zh-CN" w:bidi="ar-SA"/>
        </w:rPr>
        <w:t>年</w:t>
      </w:r>
      <w:r>
        <w:rPr>
          <w:rStyle w:val="10"/>
          <w:rFonts w:hint="eastAsia" w:ascii="仿宋_GB2312" w:hAnsi="仿宋_GB2312" w:eastAsia="仿宋_GB2312"/>
          <w:b w:val="0"/>
          <w:i w:val="0"/>
          <w:caps w:val="0"/>
          <w:spacing w:val="-6"/>
          <w:w w:val="100"/>
          <w:kern w:val="2"/>
          <w:sz w:val="32"/>
          <w:szCs w:val="32"/>
          <w:lang w:val="en-US" w:eastAsia="zh-CN" w:bidi="ar-SA"/>
        </w:rPr>
        <w:t>4</w:t>
      </w:r>
      <w:r>
        <w:rPr>
          <w:rStyle w:val="10"/>
          <w:rFonts w:ascii="仿宋_GB2312" w:hAnsi="仿宋_GB2312" w:eastAsia="仿宋_GB2312"/>
          <w:b w:val="0"/>
          <w:i w:val="0"/>
          <w:caps w:val="0"/>
          <w:spacing w:val="-6"/>
          <w:w w:val="100"/>
          <w:kern w:val="2"/>
          <w:sz w:val="32"/>
          <w:szCs w:val="32"/>
          <w:lang w:val="en-US" w:eastAsia="zh-CN" w:bidi="ar-SA"/>
        </w:rPr>
        <w:t>月</w:t>
      </w:r>
      <w:r>
        <w:rPr>
          <w:rStyle w:val="10"/>
          <w:rFonts w:hint="eastAsia" w:ascii="仿宋_GB2312" w:hAnsi="仿宋_GB2312" w:eastAsia="仿宋_GB2312"/>
          <w:b w:val="0"/>
          <w:i w:val="0"/>
          <w:caps w:val="0"/>
          <w:spacing w:val="-6"/>
          <w:w w:val="100"/>
          <w:kern w:val="2"/>
          <w:sz w:val="32"/>
          <w:szCs w:val="32"/>
          <w:lang w:val="en-US" w:eastAsia="zh-CN" w:bidi="ar-SA"/>
        </w:rPr>
        <w:t>11</w:t>
      </w:r>
      <w:r>
        <w:rPr>
          <w:rStyle w:val="10"/>
          <w:rFonts w:ascii="仿宋_GB2312" w:hAnsi="仿宋_GB2312" w:eastAsia="仿宋_GB2312"/>
          <w:b w:val="0"/>
          <w:i w:val="0"/>
          <w:caps w:val="0"/>
          <w:spacing w:val="-6"/>
          <w:w w:val="100"/>
          <w:kern w:val="2"/>
          <w:sz w:val="32"/>
          <w:szCs w:val="32"/>
          <w:lang w:val="en-US" w:eastAsia="zh-CN" w:bidi="ar-SA"/>
        </w:rPr>
        <w:t>日</w:t>
      </w: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3B9F3D19"/>
    <w:rsid w:val="0BC63B74"/>
    <w:rsid w:val="0EEC057A"/>
    <w:rsid w:val="0F6A0E1E"/>
    <w:rsid w:val="10892C41"/>
    <w:rsid w:val="1E8A2A3D"/>
    <w:rsid w:val="1ED24E6B"/>
    <w:rsid w:val="1EDD7021"/>
    <w:rsid w:val="25462E46"/>
    <w:rsid w:val="2AB54E7F"/>
    <w:rsid w:val="3B9F3D19"/>
    <w:rsid w:val="3F9B5BB1"/>
    <w:rsid w:val="42074515"/>
    <w:rsid w:val="48D423BE"/>
    <w:rsid w:val="49D10ACC"/>
    <w:rsid w:val="4EC64BEA"/>
    <w:rsid w:val="4F0C50FB"/>
    <w:rsid w:val="5AD216C5"/>
    <w:rsid w:val="61DE04AF"/>
    <w:rsid w:val="689E2EA1"/>
    <w:rsid w:val="6A047FFE"/>
    <w:rsid w:val="7CB74D26"/>
    <w:rsid w:val="7F33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autoRedefine/>
    <w:qFormat/>
    <w:uiPriority w:val="0"/>
  </w:style>
  <w:style w:type="paragraph" w:customStyle="1" w:styleId="7">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NormalCharacter"/>
    <w:autoRedefine/>
    <w:qFormat/>
    <w:uiPriority w:val="0"/>
    <w:rPr>
      <w:kern w:val="2"/>
      <w:sz w:val="21"/>
      <w:lang w:val="en-US" w:eastAsia="zh-CN" w:bidi="ar-SA"/>
    </w:rPr>
  </w:style>
  <w:style w:type="paragraph" w:customStyle="1" w:styleId="11">
    <w:name w:val="UserStyle_7"/>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2">
    <w:name w:val="UserStyle_20"/>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13">
    <w:name w:val="UserStyle_17"/>
    <w:autoRedefine/>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1510</Words>
  <Characters>1616</Characters>
  <Lines>0</Lines>
  <Paragraphs>0</Paragraphs>
  <TotalTime>1</TotalTime>
  <ScaleCrop>false</ScaleCrop>
  <LinksUpToDate>false</LinksUpToDate>
  <CharactersWithSpaces>1618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2020-05-25T09:58:00Z</dcterms:created>
  <dc:creator>丽纱</dc:creator>
  <cp:lastModifiedBy>丽纱</cp:lastModifiedBy>
  <dcterms:modified xsi:type="dcterms:W3CDTF">2025-04-11T02:56:37Z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37A6BBA76E41482195666D465E33CC4F</vt:lpwstr>
  </property>
  <property fmtid="{D5CDD505-2E9C-101B-9397-08002B2CF9AE}" pid="4" name="KSOTemplateDocerSaveRecord">
    <vt:lpwstr>eyJoZGlkIjoiZDlmMjljZTYxNTUzNmM1NDNmMmQ3ZWM5YmI4ODgxMjIiLCJ1c2VySWQiOiIzNTkwNDA3MTgifQ==</vt:lpwstr>
  </property>
</Properties>
</file>