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2025〕6号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75DCBCA7">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灵丘安博园心理医院有限公司</w:t>
      </w:r>
    </w:p>
    <w:p w14:paraId="77B98E87">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灵丘安博园心理医院项目</w:t>
      </w:r>
      <w:bookmarkStart w:id="0" w:name="_GoBack"/>
      <w:bookmarkEnd w:id="0"/>
    </w:p>
    <w:p w14:paraId="506B1022">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2D610AFC">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120C1ED1">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hint="eastAsia" w:ascii="仿宋_GB2312" w:hAnsi="仿宋" w:eastAsia="仿宋_GB2312"/>
          <w:b w:val="0"/>
          <w:i w:val="0"/>
          <w:caps w:val="0"/>
          <w:spacing w:val="0"/>
          <w:w w:val="100"/>
          <w:kern w:val="2"/>
          <w:sz w:val="32"/>
          <w:szCs w:val="32"/>
          <w:lang w:val="en-US" w:eastAsia="zh-CN" w:bidi="ar-SA"/>
        </w:rPr>
        <w:t>灵丘安博园心理医院有限公司</w:t>
      </w:r>
      <w:r>
        <w:rPr>
          <w:rStyle w:val="10"/>
          <w:rFonts w:ascii="仿宋_GB2312" w:hAnsi="仿宋_GB2312" w:eastAsia="仿宋_GB2312"/>
          <w:b w:val="0"/>
          <w:i w:val="0"/>
          <w:caps w:val="0"/>
          <w:spacing w:val="0"/>
          <w:w w:val="100"/>
          <w:kern w:val="2"/>
          <w:sz w:val="32"/>
          <w:szCs w:val="32"/>
          <w:lang w:val="en-US" w:eastAsia="zh-CN" w:bidi="ar-SA"/>
        </w:rPr>
        <w:t>：</w:t>
      </w:r>
    </w:p>
    <w:p w14:paraId="07A41FE4">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 w:eastAsia="仿宋_GB2312"/>
          <w:b w:val="0"/>
          <w:i w:val="0"/>
          <w:caps w:val="0"/>
          <w:spacing w:val="-6"/>
          <w:w w:val="100"/>
          <w:kern w:val="2"/>
          <w:sz w:val="32"/>
          <w:szCs w:val="32"/>
          <w:lang w:val="en-US" w:eastAsia="zh-CN" w:bidi="ar-SA"/>
        </w:rPr>
      </w:pPr>
      <w:r>
        <w:rPr>
          <w:rStyle w:val="10"/>
          <w:rFonts w:ascii="仿宋_GB2312" w:hAnsi="仿宋" w:eastAsia="仿宋_GB2312"/>
          <w:b w:val="0"/>
          <w:i w:val="0"/>
          <w:caps w:val="0"/>
          <w:spacing w:val="0"/>
          <w:w w:val="100"/>
          <w:kern w:val="2"/>
          <w:sz w:val="32"/>
          <w:szCs w:val="32"/>
          <w:lang w:val="en-US" w:eastAsia="zh-CN" w:bidi="ar-SA"/>
        </w:rPr>
        <w:t>你</w:t>
      </w:r>
      <w:r>
        <w:rPr>
          <w:rStyle w:val="10"/>
          <w:rFonts w:hint="eastAsia" w:ascii="仿宋_GB2312" w:hAnsi="仿宋" w:eastAsia="仿宋_GB2312"/>
          <w:b w:val="0"/>
          <w:i w:val="0"/>
          <w:caps w:val="0"/>
          <w:spacing w:val="0"/>
          <w:w w:val="100"/>
          <w:kern w:val="2"/>
          <w:sz w:val="32"/>
          <w:szCs w:val="32"/>
          <w:lang w:val="en-US" w:eastAsia="zh-CN" w:bidi="ar-SA"/>
        </w:rPr>
        <w:t>公司</w:t>
      </w:r>
      <w:r>
        <w:rPr>
          <w:rStyle w:val="10"/>
          <w:rFonts w:ascii="仿宋_GB2312" w:hAnsi="仿宋" w:eastAsia="仿宋_GB2312"/>
          <w:b w:val="0"/>
          <w:i w:val="0"/>
          <w:caps w:val="0"/>
          <w:spacing w:val="0"/>
          <w:w w:val="100"/>
          <w:kern w:val="2"/>
          <w:sz w:val="32"/>
          <w:szCs w:val="32"/>
          <w:lang w:val="en-US" w:eastAsia="zh-CN" w:bidi="ar-SA"/>
        </w:rPr>
        <w:t>关于《</w:t>
      </w:r>
      <w:r>
        <w:rPr>
          <w:rStyle w:val="10"/>
          <w:rFonts w:hint="eastAsia" w:ascii="仿宋_GB2312" w:hAnsi="仿宋" w:eastAsia="仿宋_GB2312"/>
          <w:b w:val="0"/>
          <w:i w:val="0"/>
          <w:caps w:val="0"/>
          <w:spacing w:val="0"/>
          <w:w w:val="100"/>
          <w:kern w:val="2"/>
          <w:sz w:val="32"/>
          <w:szCs w:val="32"/>
          <w:lang w:val="en-US" w:eastAsia="zh-CN" w:bidi="ar-SA"/>
        </w:rPr>
        <w:t>灵丘安博园心理医院项目</w:t>
      </w:r>
      <w:r>
        <w:rPr>
          <w:rStyle w:val="10"/>
          <w:rFonts w:ascii="仿宋_GB2312" w:hAnsi="仿宋" w:eastAsia="仿宋_GB2312"/>
          <w:b w:val="0"/>
          <w:i w:val="0"/>
          <w:caps w:val="0"/>
          <w:spacing w:val="0"/>
          <w:w w:val="100"/>
          <w:kern w:val="2"/>
          <w:sz w:val="32"/>
          <w:szCs w:val="32"/>
          <w:lang w:val="en-US" w:eastAsia="zh-CN" w:bidi="ar-SA"/>
        </w:rPr>
        <w:t>环境影响报告表》（以下简称《报</w:t>
      </w:r>
      <w:r>
        <w:rPr>
          <w:rStyle w:val="10"/>
          <w:rFonts w:ascii="仿宋_GB2312" w:hAnsi="仿宋" w:eastAsia="仿宋_GB2312"/>
          <w:b w:val="0"/>
          <w:i w:val="0"/>
          <w:caps w:val="0"/>
          <w:spacing w:val="-6"/>
          <w:w w:val="100"/>
          <w:kern w:val="2"/>
          <w:sz w:val="32"/>
          <w:szCs w:val="32"/>
          <w:lang w:val="en-US" w:eastAsia="zh-CN" w:bidi="ar-SA"/>
        </w:rPr>
        <w:t>告表》）相关材料收悉。</w:t>
      </w:r>
      <w:r>
        <w:rPr>
          <w:rStyle w:val="10"/>
          <w:rFonts w:ascii="仿宋_GB2312" w:hAnsi="仿宋_GB2312" w:eastAsia="仿宋_GB2312"/>
          <w:b w:val="0"/>
          <w:i w:val="0"/>
          <w:caps w:val="0"/>
          <w:spacing w:val="-6"/>
          <w:w w:val="100"/>
          <w:kern w:val="2"/>
          <w:sz w:val="32"/>
          <w:szCs w:val="32"/>
          <w:lang w:val="en-US" w:eastAsia="zh-CN" w:bidi="ar-SA"/>
        </w:rPr>
        <w:t>经研究，现对该</w:t>
      </w:r>
      <w:r>
        <w:rPr>
          <w:rStyle w:val="10"/>
          <w:rFonts w:ascii="仿宋_GB2312" w:hAnsi="仿宋" w:eastAsia="仿宋_GB2312"/>
          <w:b w:val="0"/>
          <w:i w:val="0"/>
          <w:caps w:val="0"/>
          <w:spacing w:val="-6"/>
          <w:w w:val="100"/>
          <w:kern w:val="2"/>
          <w:sz w:val="32"/>
          <w:szCs w:val="32"/>
          <w:lang w:val="en-US" w:eastAsia="zh-CN" w:bidi="ar-SA"/>
        </w:rPr>
        <w:t>《报告表》</w:t>
      </w:r>
      <w:r>
        <w:rPr>
          <w:rStyle w:val="10"/>
          <w:rFonts w:ascii="仿宋_GB2312" w:hAnsi="仿宋_GB2312" w:eastAsia="仿宋_GB2312"/>
          <w:b w:val="0"/>
          <w:i w:val="0"/>
          <w:caps w:val="0"/>
          <w:spacing w:val="-6"/>
          <w:w w:val="100"/>
          <w:kern w:val="2"/>
          <w:sz w:val="32"/>
          <w:szCs w:val="32"/>
          <w:lang w:val="en-US" w:eastAsia="zh-CN" w:bidi="ar-SA"/>
        </w:rPr>
        <w:t>批复如下：</w:t>
      </w:r>
    </w:p>
    <w:p w14:paraId="726B24C6">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16" w:firstLineChars="200"/>
        <w:jc w:val="both"/>
        <w:textAlignment w:val="baseline"/>
        <w:rPr>
          <w:rStyle w:val="10"/>
          <w:rFonts w:ascii="仿宋_GB2312" w:hAnsi="仿宋_GB2312" w:eastAsia="仿宋_GB2312"/>
          <w:b w:val="0"/>
          <w:i w:val="0"/>
          <w:caps w:val="0"/>
          <w:color w:val="000000"/>
          <w:spacing w:val="0"/>
          <w:w w:val="100"/>
          <w:sz w:val="32"/>
          <w:szCs w:val="32"/>
          <w:lang w:val="en-US" w:eastAsia="zh-CN" w:bidi="ar-SA"/>
        </w:rPr>
      </w:pPr>
      <w:r>
        <w:rPr>
          <w:rStyle w:val="10"/>
          <w:rFonts w:ascii="仿宋_GB2312" w:hAnsi="仿宋" w:eastAsia="仿宋_GB2312"/>
          <w:b w:val="0"/>
          <w:i w:val="0"/>
          <w:caps w:val="0"/>
          <w:color w:val="000000"/>
          <w:spacing w:val="-6"/>
          <w:w w:val="100"/>
          <w:sz w:val="32"/>
          <w:szCs w:val="32"/>
          <w:lang w:val="en-US" w:eastAsia="zh-CN" w:bidi="ar-SA"/>
        </w:rPr>
        <w:t>一、该项目</w:t>
      </w:r>
      <w:r>
        <w:rPr>
          <w:rStyle w:val="10"/>
          <w:rFonts w:hint="eastAsia" w:ascii="仿宋_GB2312" w:hAnsi="仿宋" w:eastAsia="仿宋_GB2312"/>
          <w:b w:val="0"/>
          <w:i w:val="0"/>
          <w:caps w:val="0"/>
          <w:color w:val="000000"/>
          <w:spacing w:val="-6"/>
          <w:w w:val="100"/>
          <w:sz w:val="32"/>
          <w:szCs w:val="32"/>
          <w:lang w:val="en-US" w:eastAsia="zh-CN" w:bidi="ar-SA"/>
        </w:rPr>
        <w:t>位于山西省大同市灵丘县武灵镇巍山北路西侧50米</w:t>
      </w:r>
      <w:r>
        <w:rPr>
          <w:rStyle w:val="10"/>
          <w:rFonts w:ascii="仿宋_GB2312" w:hAnsi="仿宋" w:eastAsia="仿宋_GB2312"/>
          <w:b w:val="0"/>
          <w:i w:val="0"/>
          <w:caps w:val="0"/>
          <w:color w:val="auto"/>
          <w:spacing w:val="-6"/>
          <w:w w:val="100"/>
          <w:sz w:val="32"/>
          <w:szCs w:val="32"/>
          <w:lang w:val="en-US" w:eastAsia="zh-CN" w:bidi="ar-SA"/>
        </w:rPr>
        <w:t>，</w:t>
      </w:r>
      <w:r>
        <w:rPr>
          <w:rStyle w:val="10"/>
          <w:rFonts w:hint="eastAsia" w:ascii="仿宋_GB2312" w:hAnsi="仿宋" w:eastAsia="仿宋_GB2312"/>
          <w:b w:val="0"/>
          <w:i w:val="0"/>
          <w:caps w:val="0"/>
          <w:color w:val="auto"/>
          <w:spacing w:val="-6"/>
          <w:w w:val="100"/>
          <w:sz w:val="32"/>
          <w:szCs w:val="32"/>
          <w:lang w:val="en-US" w:eastAsia="zh-CN" w:bidi="ar-SA"/>
        </w:rPr>
        <w:t>租用灵丘县中源农业科技开发有限责任公司厂房进行建设，依托现有供水、供电、供暖。项目拟设置的科室主要为精神科，同时配套建设有检验科、处置室、外科、收费室医保科、药房、药库、中医科、内科、心理咨询室、康复科等。设置住院床位228张（住院楼一层设置 60张床位，住院楼二层设置67张床位，住院楼三层设置70张床位，开放式病房一层设置12张床位，开放式病房二层设置19张床位，合计228张。</w:t>
      </w:r>
      <w:r>
        <w:rPr>
          <w:rStyle w:val="10"/>
          <w:rFonts w:ascii="仿宋_GB2312" w:hAnsi="仿宋" w:eastAsia="仿宋_GB2312"/>
          <w:b w:val="0"/>
          <w:i w:val="0"/>
          <w:caps w:val="0"/>
          <w:color w:val="auto"/>
          <w:spacing w:val="-6"/>
          <w:w w:val="100"/>
          <w:sz w:val="32"/>
          <w:szCs w:val="32"/>
          <w:lang w:val="en-US" w:eastAsia="zh-CN" w:bidi="ar-SA"/>
        </w:rPr>
        <w:t>项目总投资为</w:t>
      </w:r>
      <w:r>
        <w:rPr>
          <w:rStyle w:val="10"/>
          <w:rFonts w:hint="eastAsia" w:ascii="仿宋_GB2312" w:hAnsi="仿宋" w:eastAsia="仿宋_GB2312"/>
          <w:b w:val="0"/>
          <w:i w:val="0"/>
          <w:caps w:val="0"/>
          <w:color w:val="auto"/>
          <w:spacing w:val="-6"/>
          <w:w w:val="100"/>
          <w:sz w:val="32"/>
          <w:szCs w:val="32"/>
          <w:lang w:val="en-US" w:eastAsia="zh-CN" w:bidi="ar-SA"/>
        </w:rPr>
        <w:t>2000</w:t>
      </w:r>
      <w:r>
        <w:rPr>
          <w:rStyle w:val="10"/>
          <w:rFonts w:ascii="仿宋_GB2312" w:hAnsi="仿宋" w:eastAsia="仿宋_GB2312"/>
          <w:b w:val="0"/>
          <w:i w:val="0"/>
          <w:caps w:val="0"/>
          <w:color w:val="auto"/>
          <w:spacing w:val="-6"/>
          <w:w w:val="100"/>
          <w:sz w:val="32"/>
          <w:szCs w:val="32"/>
          <w:lang w:val="en-US" w:eastAsia="zh-CN" w:bidi="ar-SA"/>
        </w:rPr>
        <w:t>万元，环保投资</w:t>
      </w:r>
      <w:r>
        <w:rPr>
          <w:rStyle w:val="10"/>
          <w:rFonts w:hint="eastAsia" w:ascii="仿宋_GB2312" w:hAnsi="仿宋" w:eastAsia="仿宋_GB2312"/>
          <w:b w:val="0"/>
          <w:i w:val="0"/>
          <w:caps w:val="0"/>
          <w:color w:val="auto"/>
          <w:spacing w:val="-6"/>
          <w:w w:val="100"/>
          <w:sz w:val="32"/>
          <w:szCs w:val="32"/>
          <w:lang w:val="en-US" w:eastAsia="zh-CN" w:bidi="ar-SA"/>
        </w:rPr>
        <w:t>49</w:t>
      </w:r>
      <w:r>
        <w:rPr>
          <w:rStyle w:val="10"/>
          <w:rFonts w:ascii="仿宋_GB2312" w:hAnsi="仿宋" w:eastAsia="仿宋_GB2312"/>
          <w:b w:val="0"/>
          <w:i w:val="0"/>
          <w:caps w:val="0"/>
          <w:color w:val="auto"/>
          <w:spacing w:val="-6"/>
          <w:w w:val="100"/>
          <w:sz w:val="32"/>
          <w:szCs w:val="32"/>
          <w:lang w:val="en-US" w:eastAsia="zh-CN" w:bidi="ar-SA"/>
        </w:rPr>
        <w:t>万元，占总投资比例的</w:t>
      </w:r>
      <w:r>
        <w:rPr>
          <w:rStyle w:val="10"/>
          <w:rFonts w:hint="eastAsia" w:ascii="仿宋_GB2312" w:hAnsi="仿宋" w:eastAsia="仿宋_GB2312"/>
          <w:b w:val="0"/>
          <w:i w:val="0"/>
          <w:caps w:val="0"/>
          <w:color w:val="auto"/>
          <w:spacing w:val="-6"/>
          <w:w w:val="100"/>
          <w:sz w:val="32"/>
          <w:szCs w:val="32"/>
          <w:lang w:val="en-US" w:eastAsia="zh-CN" w:bidi="ar-SA"/>
        </w:rPr>
        <w:t>2.45%</w:t>
      </w:r>
      <w:r>
        <w:rPr>
          <w:rStyle w:val="10"/>
          <w:rFonts w:ascii="仿宋_GB2312" w:hAnsi="仿宋" w:eastAsia="仿宋_GB2312"/>
          <w:b w:val="0"/>
          <w:i w:val="0"/>
          <w:caps w:val="0"/>
          <w:color w:val="auto"/>
          <w:spacing w:val="-6"/>
          <w:w w:val="100"/>
          <w:sz w:val="32"/>
          <w:szCs w:val="32"/>
          <w:lang w:val="en-US" w:eastAsia="zh-CN" w:bidi="ar-SA"/>
        </w:rPr>
        <w:t>。</w:t>
      </w:r>
      <w:r>
        <w:rPr>
          <w:rStyle w:val="10"/>
          <w:rFonts w:hint="eastAsia" w:ascii="仿宋_GB2312" w:hAnsi="仿宋" w:eastAsia="仿宋_GB2312"/>
          <w:b w:val="0"/>
          <w:i w:val="0"/>
          <w:caps w:val="0"/>
          <w:color w:val="000000"/>
          <w:spacing w:val="-17"/>
          <w:w w:val="100"/>
          <w:sz w:val="32"/>
          <w:szCs w:val="32"/>
          <w:lang w:val="en-US" w:eastAsia="zh-CN" w:bidi="ar-SA"/>
        </w:rPr>
        <w:t>灵丘县发展改革和科技局对该项目进行了备案，项目代码：2411-140224-89-05-436773。</w:t>
      </w:r>
      <w:r>
        <w:rPr>
          <w:rStyle w:val="10"/>
          <w:rFonts w:ascii="仿宋_GB2312" w:hAnsi="仿宋" w:eastAsia="仿宋_GB2312"/>
          <w:b w:val="0"/>
          <w:i w:val="0"/>
          <w:caps w:val="0"/>
          <w:color w:val="000000"/>
          <w:spacing w:val="0"/>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0"/>
          <w:w w:val="100"/>
          <w:sz w:val="32"/>
          <w:szCs w:val="32"/>
          <w:lang w:val="en-US" w:eastAsia="zh-CN" w:bidi="ar-SA"/>
        </w:rPr>
        <w:t>分</w:t>
      </w:r>
      <w:r>
        <w:rPr>
          <w:rStyle w:val="10"/>
          <w:rFonts w:ascii="仿宋_GB2312" w:hAnsi="仿宋" w:eastAsia="仿宋_GB2312"/>
          <w:b w:val="0"/>
          <w:i w:val="0"/>
          <w:caps w:val="0"/>
          <w:color w:val="000000"/>
          <w:spacing w:val="0"/>
          <w:w w:val="100"/>
          <w:sz w:val="32"/>
          <w:szCs w:val="32"/>
          <w:lang w:val="en-US" w:eastAsia="zh-CN" w:bidi="ar-SA"/>
        </w:rPr>
        <w:t>局原则同意《报告表》所列建设项目的性质、规模、地点、采用的生产工艺和采取的环境保护措施。</w:t>
      </w:r>
    </w:p>
    <w:p w14:paraId="39E1B5CC">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二、</w:t>
      </w:r>
      <w:r>
        <w:rPr>
          <w:rStyle w:val="10"/>
          <w:rFonts w:ascii="仿宋_GB2312" w:hAnsi="仿宋_GB2312" w:eastAsia="仿宋_GB2312"/>
          <w:b w:val="0"/>
          <w:i w:val="0"/>
          <w:caps w:val="0"/>
          <w:color w:val="000000"/>
          <w:spacing w:val="0"/>
          <w:w w:val="100"/>
          <w:kern w:val="2"/>
          <w:sz w:val="32"/>
          <w:szCs w:val="32"/>
          <w:lang w:val="en-US" w:eastAsia="zh-CN" w:bidi="ar-SA"/>
        </w:rPr>
        <w:t>在项目建设和运行管理中，必须对照《报告表》逐一落实各项环保对策措施，重点做好以下工作：</w:t>
      </w:r>
    </w:p>
    <w:p w14:paraId="0536AF2F">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1、认真做好施工期环境保护工作，</w:t>
      </w:r>
      <w:r>
        <w:rPr>
          <w:rStyle w:val="10"/>
          <w:rFonts w:hint="eastAsia" w:ascii="仿宋_GB2312" w:hAnsi="仿宋_GB2312" w:eastAsia="仿宋_GB2312"/>
          <w:b w:val="0"/>
          <w:i w:val="0"/>
          <w:caps w:val="0"/>
          <w:color w:val="000000"/>
          <w:spacing w:val="0"/>
          <w:w w:val="100"/>
          <w:kern w:val="2"/>
          <w:sz w:val="32"/>
          <w:szCs w:val="32"/>
          <w:lang w:val="en-US" w:eastAsia="zh-CN" w:bidi="ar-SA"/>
        </w:rPr>
        <w:t>施工过程严格落实“六个百分之百”，</w:t>
      </w:r>
      <w:r>
        <w:rPr>
          <w:rStyle w:val="10"/>
          <w:rFonts w:ascii="仿宋_GB2312" w:hAnsi="仿宋_GB2312" w:eastAsia="仿宋_GB2312"/>
          <w:b w:val="0"/>
          <w:i w:val="0"/>
          <w:caps w:val="0"/>
          <w:color w:val="000000"/>
          <w:spacing w:val="0"/>
          <w:w w:val="100"/>
          <w:kern w:val="2"/>
          <w:sz w:val="32"/>
          <w:szCs w:val="32"/>
          <w:lang w:val="en-US" w:eastAsia="zh-CN" w:bidi="ar-SA"/>
        </w:rPr>
        <w:t>加强</w:t>
      </w:r>
      <w:r>
        <w:rPr>
          <w:rStyle w:val="10"/>
          <w:rFonts w:hint="eastAsia" w:ascii="仿宋_GB2312" w:hAnsi="仿宋_GB2312" w:eastAsia="仿宋_GB2312"/>
          <w:b w:val="0"/>
          <w:i w:val="0"/>
          <w:caps w:val="0"/>
          <w:color w:val="000000"/>
          <w:spacing w:val="0"/>
          <w:w w:val="100"/>
          <w:kern w:val="2"/>
          <w:sz w:val="32"/>
          <w:szCs w:val="32"/>
          <w:lang w:val="en-US" w:eastAsia="zh-CN" w:bidi="ar-SA"/>
        </w:rPr>
        <w:t>废水、噪声、固体废物</w:t>
      </w:r>
      <w:r>
        <w:rPr>
          <w:rStyle w:val="10"/>
          <w:rFonts w:ascii="仿宋_GB2312" w:hAnsi="仿宋_GB2312" w:eastAsia="仿宋_GB2312"/>
          <w:b w:val="0"/>
          <w:i w:val="0"/>
          <w:caps w:val="0"/>
          <w:color w:val="000000"/>
          <w:spacing w:val="0"/>
          <w:w w:val="100"/>
          <w:kern w:val="2"/>
          <w:sz w:val="32"/>
          <w:szCs w:val="32"/>
          <w:lang w:val="en-US" w:eastAsia="zh-CN" w:bidi="ar-SA"/>
        </w:rPr>
        <w:t>环境管理，落实《报</w:t>
      </w:r>
      <w:r>
        <w:rPr>
          <w:rStyle w:val="10"/>
          <w:rFonts w:ascii="仿宋_GB2312" w:hAnsi="仿宋_GB2312" w:eastAsia="仿宋_GB2312"/>
          <w:b w:val="0"/>
          <w:i w:val="0"/>
          <w:caps w:val="0"/>
          <w:color w:val="000000"/>
          <w:spacing w:val="-6"/>
          <w:w w:val="100"/>
          <w:kern w:val="2"/>
          <w:sz w:val="32"/>
          <w:szCs w:val="32"/>
          <w:lang w:val="en-US" w:eastAsia="zh-CN" w:bidi="ar-SA"/>
        </w:rPr>
        <w:t>告表》提出的各项污染防治及生态保护措施，降低对周边的影响。</w:t>
      </w:r>
    </w:p>
    <w:p w14:paraId="7F871C78">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2</w:t>
      </w:r>
      <w:r>
        <w:rPr>
          <w:rStyle w:val="10"/>
          <w:rFonts w:ascii="仿宋_GB2312" w:hAnsi="仿宋_GB2312" w:eastAsia="仿宋_GB2312"/>
          <w:b w:val="0"/>
          <w:i w:val="0"/>
          <w:caps w:val="0"/>
          <w:color w:val="000000"/>
          <w:spacing w:val="0"/>
          <w:w w:val="100"/>
          <w:kern w:val="2"/>
          <w:sz w:val="32"/>
          <w:szCs w:val="32"/>
          <w:lang w:val="en-US" w:eastAsia="zh-CN" w:bidi="ar-SA"/>
        </w:rPr>
        <w:t>、废气污染防治措施。</w:t>
      </w:r>
      <w:r>
        <w:rPr>
          <w:rStyle w:val="10"/>
          <w:rFonts w:hint="eastAsia" w:ascii="仿宋_GB2312" w:hAnsi="仿宋_GB2312" w:eastAsia="仿宋_GB2312"/>
          <w:b w:val="0"/>
          <w:i w:val="0"/>
          <w:caps w:val="0"/>
          <w:color w:val="auto"/>
          <w:spacing w:val="0"/>
          <w:w w:val="100"/>
          <w:kern w:val="2"/>
          <w:sz w:val="32"/>
          <w:szCs w:val="32"/>
          <w:lang w:val="en-US" w:eastAsia="zh-CN" w:bidi="ar-SA"/>
        </w:rPr>
        <w:t>项目运营期污水处理站各池体要加盖密闭，喷洒除臭剂，同时对污泥等进行及时消毒、清运；食堂安装油烟净化装置。</w:t>
      </w:r>
      <w:r>
        <w:rPr>
          <w:rStyle w:val="10"/>
          <w:rFonts w:hint="eastAsia" w:ascii="仿宋_GB2312" w:hAnsi="仿宋_GB2312" w:eastAsia="仿宋_GB2312"/>
          <w:b w:val="0"/>
          <w:i w:val="0"/>
          <w:caps w:val="0"/>
          <w:color w:val="000000"/>
          <w:spacing w:val="0"/>
          <w:w w:val="100"/>
          <w:kern w:val="2"/>
          <w:sz w:val="32"/>
          <w:szCs w:val="32"/>
          <w:lang w:val="en-US" w:eastAsia="zh-CN" w:bidi="ar-SA"/>
        </w:rPr>
        <w:t>运行过程中污水处理站恶臭气体执行《医疗机构水污染物排放标准》GB18466-2005)表3污水处理站周边大气污染物最高允许浓度限值；厨房油烟参照《饮食业</w:t>
      </w:r>
      <w:r>
        <w:rPr>
          <w:rStyle w:val="10"/>
          <w:rFonts w:hint="eastAsia" w:ascii="仿宋_GB2312" w:hAnsi="仿宋_GB2312" w:eastAsia="仿宋_GB2312"/>
          <w:b w:val="0"/>
          <w:i w:val="0"/>
          <w:caps w:val="0"/>
          <w:color w:val="000000"/>
          <w:spacing w:val="-6"/>
          <w:w w:val="100"/>
          <w:kern w:val="2"/>
          <w:sz w:val="32"/>
          <w:szCs w:val="32"/>
          <w:lang w:val="en-US" w:eastAsia="zh-CN" w:bidi="ar-SA"/>
        </w:rPr>
        <w:t>油烟排放标准（试行）》（GB18483-2001）中的小型标准限值要求。</w:t>
      </w:r>
    </w:p>
    <w:p w14:paraId="7D444E8B">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ascii="仿宋_GB2312" w:hAnsi="仿宋_GB2312" w:eastAsia="仿宋_GB2312"/>
          <w:b w:val="0"/>
          <w:i w:val="0"/>
          <w:caps w:val="0"/>
          <w:color w:val="0000FF"/>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3</w:t>
      </w:r>
      <w:r>
        <w:rPr>
          <w:rStyle w:val="10"/>
          <w:rFonts w:ascii="仿宋_GB2312" w:hAnsi="仿宋_GB2312" w:eastAsia="仿宋_GB2312"/>
          <w:b w:val="0"/>
          <w:i w:val="0"/>
          <w:caps w:val="0"/>
          <w:color w:val="000000"/>
          <w:spacing w:val="0"/>
          <w:w w:val="100"/>
          <w:kern w:val="2"/>
          <w:sz w:val="32"/>
          <w:szCs w:val="32"/>
          <w:lang w:val="en-US" w:eastAsia="zh-CN" w:bidi="ar-SA"/>
        </w:rPr>
        <w:t>、废水污染防治措施。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运营期检验废水经预处理后与其他污水合并后排入自建污水处理站，处理工艺为“化粪池+格栅池+混凝沉淀+消毒池”，处理后的废水经市政污水管网最终排入灵丘县污水处理厂处理。</w:t>
      </w:r>
    </w:p>
    <w:p w14:paraId="7948E1EC">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0"/>
          <w:rFonts w:ascii="仿宋_GB2312" w:hAnsi="仿宋_GB2312" w:eastAsia="仿宋_GB2312"/>
          <w:b w:val="0"/>
          <w:i w:val="0"/>
          <w:caps w:val="0"/>
          <w:color w:val="0000FF"/>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4</w:t>
      </w:r>
      <w:r>
        <w:rPr>
          <w:rStyle w:val="10"/>
          <w:rFonts w:ascii="仿宋_GB2312" w:hAnsi="仿宋_GB2312" w:eastAsia="仿宋_GB2312"/>
          <w:b w:val="0"/>
          <w:i w:val="0"/>
          <w:caps w:val="0"/>
          <w:color w:val="000000"/>
          <w:spacing w:val="0"/>
          <w:w w:val="100"/>
          <w:kern w:val="2"/>
          <w:sz w:val="32"/>
          <w:szCs w:val="32"/>
          <w:lang w:val="en-US" w:eastAsia="zh-CN" w:bidi="ar-SA"/>
        </w:rPr>
        <w:t>、噪声污染防治措施。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运营期风机、泵类机械噪声、空气动力噪声，选用低噪声设备、室内安装、基础减振、厂房隔声吸声、绿化降噪等措施。运营期院界噪声执行《工业企业厂界环境噪声排放标准》（GB12348-2008）1类标准。</w:t>
      </w:r>
    </w:p>
    <w:p w14:paraId="0253D55A">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5</w:t>
      </w:r>
      <w:r>
        <w:rPr>
          <w:rStyle w:val="10"/>
          <w:rFonts w:ascii="仿宋_GB2312" w:hAnsi="仿宋_GB2312" w:eastAsia="仿宋_GB2312"/>
          <w:b w:val="0"/>
          <w:i w:val="0"/>
          <w:caps w:val="0"/>
          <w:color w:val="000000"/>
          <w:spacing w:val="0"/>
          <w:w w:val="100"/>
          <w:kern w:val="2"/>
          <w:sz w:val="32"/>
          <w:szCs w:val="32"/>
          <w:lang w:val="en-US" w:eastAsia="zh-CN" w:bidi="ar-SA"/>
        </w:rPr>
        <w:t>、固体废物污染防治措施。运营期</w:t>
      </w:r>
      <w:r>
        <w:rPr>
          <w:rStyle w:val="10"/>
          <w:rFonts w:hint="eastAsia" w:ascii="仿宋_GB2312" w:hAnsi="仿宋_GB2312" w:eastAsia="仿宋_GB2312"/>
          <w:b w:val="0"/>
          <w:i w:val="0"/>
          <w:caps w:val="0"/>
          <w:color w:val="000000"/>
          <w:spacing w:val="0"/>
          <w:w w:val="100"/>
          <w:kern w:val="2"/>
          <w:sz w:val="32"/>
          <w:szCs w:val="32"/>
          <w:lang w:val="en-US" w:eastAsia="zh-CN" w:bidi="ar-SA"/>
        </w:rPr>
        <w:t>医疗废物及时收集，在医疗废物暂存库暂存后，交有资质单位处置；污水处理站污泥经过消毒、压滤脱水，直接委托第三方有资质单位清理清运处置，不在医院内暂存；生活垃圾经分类收集后定期由环卫部门统一处理。项目产生的医疗废物执行《危险废物贮存污染控制标准》（GB18597-2023）中的相关要求；医院污水处理站污泥排放指标执行《医疗机构水污染物排放标准》（GB18466-2005）表4中综合医疗机构和其他医疗机构标准。</w:t>
      </w:r>
    </w:p>
    <w:p w14:paraId="4500BC77">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Style w:val="10"/>
          <w:rFonts w:hint="default"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6</w:t>
      </w:r>
      <w:r>
        <w:rPr>
          <w:rStyle w:val="10"/>
          <w:rFonts w:ascii="仿宋_GB2312" w:hAnsi="仿宋_GB2312" w:eastAsia="仿宋_GB2312"/>
          <w:b w:val="0"/>
          <w:i w:val="0"/>
          <w:caps w:val="0"/>
          <w:color w:val="000000"/>
          <w:spacing w:val="0"/>
          <w:w w:val="100"/>
          <w:kern w:val="2"/>
          <w:sz w:val="32"/>
          <w:szCs w:val="32"/>
          <w:lang w:val="en-US" w:eastAsia="zh-CN" w:bidi="ar-SA"/>
        </w:rPr>
        <w:t>、</w:t>
      </w:r>
      <w:r>
        <w:rPr>
          <w:rStyle w:val="10"/>
          <w:rFonts w:hint="eastAsia" w:ascii="仿宋_GB2312" w:hAnsi="仿宋_GB2312" w:eastAsia="仿宋_GB2312"/>
          <w:b w:val="0"/>
          <w:i w:val="0"/>
          <w:caps w:val="0"/>
          <w:color w:val="000000"/>
          <w:spacing w:val="0"/>
          <w:w w:val="100"/>
          <w:kern w:val="2"/>
          <w:sz w:val="32"/>
          <w:szCs w:val="32"/>
          <w:lang w:val="en-US" w:eastAsia="zh-CN" w:bidi="ar-SA"/>
        </w:rPr>
        <w:t>加强厂区的绿化美化工作，改善周边生态环境。</w:t>
      </w:r>
    </w:p>
    <w:p w14:paraId="348F662E">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三、</w:t>
      </w:r>
      <w:r>
        <w:rPr>
          <w:rStyle w:val="10"/>
          <w:rFonts w:ascii="仿宋_GB2312" w:hAnsi="仿宋_GB2312" w:eastAsia="仿宋_GB2312"/>
          <w:b w:val="0"/>
          <w:i w:val="0"/>
          <w:caps w:val="0"/>
          <w:color w:val="auto"/>
          <w:spacing w:val="0"/>
          <w:w w:val="100"/>
          <w:kern w:val="2"/>
          <w:sz w:val="32"/>
          <w:szCs w:val="32"/>
          <w:lang w:val="en-US" w:eastAsia="zh-CN" w:bidi="ar-SA"/>
        </w:rPr>
        <w:t>加强对工程的环境管理和环境风险预测，制定突发环境事故应急预案及环境保护管理相关制度，采取合理有效措施防范环境风险，预防突发环境事件的发生。</w:t>
      </w:r>
    </w:p>
    <w:p w14:paraId="07D61D49">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四、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治污染、防止生态破坏措施发生重大变动的，须报经我局重新审批。</w:t>
      </w:r>
    </w:p>
    <w:p w14:paraId="136F5367">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color w:val="292929"/>
          <w:spacing w:val="0"/>
          <w:w w:val="100"/>
          <w:kern w:val="0"/>
          <w:sz w:val="32"/>
          <w:szCs w:val="32"/>
          <w:lang w:val="en-US" w:eastAsia="zh-CN" w:bidi="ar-SA"/>
        </w:rPr>
        <w:t>五、</w:t>
      </w:r>
      <w:r>
        <w:rPr>
          <w:rStyle w:val="10"/>
          <w:rFonts w:ascii="仿宋_GB2312" w:hAnsi="仿宋_GB2312" w:eastAsia="仿宋_GB2312"/>
          <w:b w:val="0"/>
          <w:i w:val="0"/>
          <w:caps w:val="0"/>
          <w:spacing w:val="0"/>
          <w:w w:val="100"/>
          <w:kern w:val="2"/>
          <w:sz w:val="32"/>
          <w:szCs w:val="32"/>
          <w:lang w:val="en-US" w:eastAsia="zh-CN" w:bidi="ar-SA"/>
        </w:rPr>
        <w:t>大同市灵丘县生态环境保护综合行政执法队负责该项目建设期及运营期日常监督管理工作。</w:t>
      </w:r>
    </w:p>
    <w:p w14:paraId="5A22523C">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p>
    <w:p w14:paraId="21F9C718">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p>
    <w:p w14:paraId="0A59A8AB">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p>
    <w:p w14:paraId="66CD1A2A">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大同市生态环境局灵丘分局</w:t>
      </w:r>
    </w:p>
    <w:p w14:paraId="5B5B8A67">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baseline"/>
        <w:rPr>
          <w:rFonts w:hint="eastAsia" w:ascii="仿宋" w:hAnsi="仿宋" w:eastAsia="仿宋" w:cs="仿宋"/>
          <w:color w:val="auto"/>
          <w:spacing w:val="68"/>
          <w:sz w:val="32"/>
          <w:szCs w:val="32"/>
          <w:u w:val="single"/>
          <w:lang w:val="en-US" w:eastAsia="zh-CN"/>
        </w:rPr>
      </w:pPr>
      <w:r>
        <w:rPr>
          <w:rStyle w:val="10"/>
          <w:rFonts w:ascii="仿宋_GB2312" w:hAnsi="仿宋_GB2312" w:eastAsia="仿宋_GB2312"/>
          <w:b w:val="0"/>
          <w:i w:val="0"/>
          <w:caps w:val="0"/>
          <w:spacing w:val="0"/>
          <w:w w:val="100"/>
          <w:kern w:val="2"/>
          <w:sz w:val="32"/>
          <w:szCs w:val="32"/>
          <w:lang w:val="en-US" w:eastAsia="zh-CN" w:bidi="ar-SA"/>
        </w:rPr>
        <w:t>202</w:t>
      </w:r>
      <w:r>
        <w:rPr>
          <w:rStyle w:val="10"/>
          <w:rFonts w:hint="eastAsia" w:ascii="仿宋_GB2312" w:hAnsi="仿宋_GB2312" w:eastAsia="仿宋_GB2312"/>
          <w:b w:val="0"/>
          <w:i w:val="0"/>
          <w:caps w:val="0"/>
          <w:spacing w:val="0"/>
          <w:w w:val="100"/>
          <w:kern w:val="2"/>
          <w:sz w:val="32"/>
          <w:szCs w:val="32"/>
          <w:lang w:val="en-US" w:eastAsia="zh-CN" w:bidi="ar-SA"/>
        </w:rPr>
        <w:t>5</w:t>
      </w:r>
      <w:r>
        <w:rPr>
          <w:rStyle w:val="10"/>
          <w:rFonts w:ascii="仿宋_GB2312" w:hAnsi="仿宋_GB2312" w:eastAsia="仿宋_GB2312"/>
          <w:b w:val="0"/>
          <w:i w:val="0"/>
          <w:caps w:val="0"/>
          <w:spacing w:val="0"/>
          <w:w w:val="100"/>
          <w:kern w:val="2"/>
          <w:sz w:val="32"/>
          <w:szCs w:val="32"/>
          <w:lang w:val="en-US" w:eastAsia="zh-CN" w:bidi="ar-SA"/>
        </w:rPr>
        <w:t>年</w:t>
      </w:r>
      <w:r>
        <w:rPr>
          <w:rStyle w:val="10"/>
          <w:rFonts w:hint="eastAsia" w:ascii="仿宋_GB2312" w:hAnsi="仿宋_GB2312" w:eastAsia="仿宋_GB2312"/>
          <w:b w:val="0"/>
          <w:i w:val="0"/>
          <w:caps w:val="0"/>
          <w:spacing w:val="0"/>
          <w:w w:val="100"/>
          <w:kern w:val="2"/>
          <w:sz w:val="32"/>
          <w:szCs w:val="32"/>
          <w:lang w:val="en-US" w:eastAsia="zh-CN" w:bidi="ar-SA"/>
        </w:rPr>
        <w:t>4</w:t>
      </w:r>
      <w:r>
        <w:rPr>
          <w:rStyle w:val="10"/>
          <w:rFonts w:ascii="仿宋_GB2312" w:hAnsi="仿宋_GB2312" w:eastAsia="仿宋_GB2312"/>
          <w:b w:val="0"/>
          <w:i w:val="0"/>
          <w:caps w:val="0"/>
          <w:spacing w:val="0"/>
          <w:w w:val="100"/>
          <w:kern w:val="2"/>
          <w:sz w:val="32"/>
          <w:szCs w:val="32"/>
          <w:lang w:val="en-US" w:eastAsia="zh-CN" w:bidi="ar-SA"/>
        </w:rPr>
        <w:t>月</w:t>
      </w:r>
      <w:r>
        <w:rPr>
          <w:rStyle w:val="10"/>
          <w:rFonts w:hint="eastAsia" w:ascii="仿宋_GB2312" w:hAnsi="仿宋_GB2312" w:eastAsia="仿宋_GB2312"/>
          <w:b w:val="0"/>
          <w:i w:val="0"/>
          <w:caps w:val="0"/>
          <w:spacing w:val="0"/>
          <w:w w:val="100"/>
          <w:kern w:val="2"/>
          <w:sz w:val="32"/>
          <w:szCs w:val="32"/>
          <w:lang w:val="en-US" w:eastAsia="zh-CN" w:bidi="ar-SA"/>
        </w:rPr>
        <w:t>2</w:t>
      </w:r>
      <w:r>
        <w:rPr>
          <w:rStyle w:val="10"/>
          <w:rFonts w:ascii="仿宋_GB2312" w:hAnsi="仿宋_GB2312" w:eastAsia="仿宋_GB2312"/>
          <w:b w:val="0"/>
          <w:i w:val="0"/>
          <w:caps w:val="0"/>
          <w:spacing w:val="0"/>
          <w:w w:val="100"/>
          <w:kern w:val="2"/>
          <w:sz w:val="32"/>
          <w:szCs w:val="32"/>
          <w:lang w:val="en-US" w:eastAsia="zh-CN" w:bidi="ar-SA"/>
        </w:rPr>
        <w:t>日</w:t>
      </w: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3AC7923"/>
    <w:rsid w:val="178A1E07"/>
    <w:rsid w:val="1E8A2A3D"/>
    <w:rsid w:val="1ED24E6B"/>
    <w:rsid w:val="1EDD7021"/>
    <w:rsid w:val="25462E46"/>
    <w:rsid w:val="290F64C9"/>
    <w:rsid w:val="2AB54E7F"/>
    <w:rsid w:val="3B9F3D19"/>
    <w:rsid w:val="3F9B5BB1"/>
    <w:rsid w:val="42074515"/>
    <w:rsid w:val="48D423BE"/>
    <w:rsid w:val="49D10ACC"/>
    <w:rsid w:val="4EC64BEA"/>
    <w:rsid w:val="4F0C50FB"/>
    <w:rsid w:val="5AD216C5"/>
    <w:rsid w:val="61DE04AF"/>
    <w:rsid w:val="689E2EA1"/>
    <w:rsid w:val="6A047FFE"/>
    <w:rsid w:val="71D12885"/>
    <w:rsid w:val="75E361C9"/>
    <w:rsid w:val="7F33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1683</Words>
  <Characters>1807</Characters>
  <Lines>0</Lines>
  <Paragraphs>0</Paragraphs>
  <TotalTime>7</TotalTime>
  <ScaleCrop>false</ScaleCrop>
  <LinksUpToDate>false</LinksUpToDate>
  <CharactersWithSpaces>1810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2025-04-02T02:48:33Z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37A6BBA76E41482195666D465E33CC4F</vt:lpwstr>
  </property>
  <property fmtid="{D5CDD505-2E9C-101B-9397-08002B2CF9AE}" pid="4" name="KSOTemplateDocerSaveRecord">
    <vt:lpwstr>eyJoZGlkIjoiZDlmMjljZTYxNTUzNmM1NDNmMmQ3ZWM5YmI4ODgxMjIiLCJ1c2VySWQiOiIzNTkwNDA3MTgifQ==</vt:lpwstr>
  </property>
</Properties>
</file>