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04E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FF0000"/>
          <w:spacing w:val="68"/>
          <w:sz w:val="52"/>
          <w:szCs w:val="52"/>
          <w:u w:val="single"/>
          <w:lang w:val="en-US" w:eastAsia="zh-CN"/>
        </w:rPr>
      </w:pPr>
      <w:r>
        <w:rPr>
          <w:rFonts w:hint="eastAsia" w:ascii="方正小标宋简体" w:hAnsi="方正小标宋简体" w:eastAsia="方正小标宋简体" w:cs="方正小标宋简体"/>
          <w:color w:val="FF0000"/>
          <w:spacing w:val="68"/>
          <w:sz w:val="52"/>
          <w:szCs w:val="52"/>
          <w:u w:val="single"/>
          <w:lang w:val="en-US" w:eastAsia="zh-CN"/>
        </w:rPr>
        <w:t xml:space="preserve"> </w:t>
      </w:r>
      <w:r>
        <w:rPr>
          <w:rFonts w:hint="eastAsia" w:ascii="方正小标宋简体" w:hAnsi="方正小标宋简体" w:eastAsia="方正小标宋简体" w:cs="方正小标宋简体"/>
          <w:color w:val="FF0000"/>
          <w:spacing w:val="68"/>
          <w:sz w:val="52"/>
          <w:szCs w:val="52"/>
          <w:u w:val="single"/>
          <w:lang w:eastAsia="zh-CN"/>
        </w:rPr>
        <w:t>大同市生态环境局灵丘分局</w:t>
      </w:r>
      <w:r>
        <w:rPr>
          <w:rFonts w:hint="eastAsia" w:ascii="方正小标宋简体" w:hAnsi="方正小标宋简体" w:eastAsia="方正小标宋简体" w:cs="方正小标宋简体"/>
          <w:color w:val="FF0000"/>
          <w:spacing w:val="68"/>
          <w:sz w:val="52"/>
          <w:szCs w:val="52"/>
          <w:u w:val="single"/>
          <w:lang w:val="en-US" w:eastAsia="zh-CN"/>
        </w:rPr>
        <w:t xml:space="preserve"> </w:t>
      </w:r>
    </w:p>
    <w:p w14:paraId="1D3DB826">
      <w:pPr>
        <w:wordWrap w:val="0"/>
        <w:spacing w:line="600" w:lineRule="exact"/>
        <w:jc w:val="right"/>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eastAsia="zh-CN"/>
        </w:rPr>
        <w:t>灵环函〔</w:t>
      </w:r>
      <w:r>
        <w:rPr>
          <w:rFonts w:hint="eastAsia" w:ascii="仿宋" w:hAnsi="仿宋" w:eastAsia="仿宋" w:cs="仿宋"/>
          <w:spacing w:val="-11"/>
          <w:sz w:val="32"/>
          <w:szCs w:val="32"/>
          <w:lang w:val="en-US" w:eastAsia="zh-CN"/>
        </w:rPr>
        <w:t>2025〕1号</w:t>
      </w:r>
    </w:p>
    <w:p w14:paraId="279015E8">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仿宋" w:hAnsi="仿宋" w:eastAsia="仿宋" w:cs="仿宋"/>
          <w:spacing w:val="-11"/>
          <w:sz w:val="21"/>
          <w:szCs w:val="21"/>
          <w:lang w:val="en-US" w:eastAsia="zh-CN"/>
        </w:rPr>
      </w:pPr>
    </w:p>
    <w:p w14:paraId="7CF2BCBF">
      <w:pPr>
        <w:snapToGrid/>
        <w:spacing w:before="0" w:beforeAutospacing="0" w:after="0" w:afterAutospacing="0" w:line="600" w:lineRule="exact"/>
        <w:jc w:val="center"/>
        <w:textAlignment w:val="baseline"/>
        <w:rPr>
          <w:rStyle w:val="10"/>
          <w:rFonts w:hint="eastAsia" w:ascii="方正小标宋简体" w:hAnsi="方正小标宋简体" w:eastAsia="方正小标宋简体"/>
          <w:b w:val="0"/>
          <w:i w:val="0"/>
          <w:caps w:val="0"/>
          <w:spacing w:val="-11"/>
          <w:w w:val="100"/>
          <w:kern w:val="2"/>
          <w:sz w:val="44"/>
          <w:szCs w:val="44"/>
          <w:lang w:val="en-US" w:eastAsia="zh-CN" w:bidi="ar-SA"/>
        </w:rPr>
      </w:pPr>
      <w:r>
        <w:rPr>
          <w:rStyle w:val="10"/>
          <w:rFonts w:ascii="方正小标宋简体" w:hAnsi="方正小标宋简体" w:eastAsia="方正小标宋简体"/>
          <w:b w:val="0"/>
          <w:i w:val="0"/>
          <w:caps w:val="0"/>
          <w:spacing w:val="-11"/>
          <w:w w:val="100"/>
          <w:kern w:val="2"/>
          <w:sz w:val="44"/>
          <w:szCs w:val="44"/>
          <w:lang w:val="en-US" w:eastAsia="zh-CN" w:bidi="ar-SA"/>
        </w:rPr>
        <w:t>关于</w:t>
      </w:r>
      <w:r>
        <w:rPr>
          <w:rStyle w:val="10"/>
          <w:rFonts w:hint="eastAsia" w:ascii="方正小标宋简体" w:hAnsi="方正小标宋简体" w:eastAsia="方正小标宋简体"/>
          <w:b w:val="0"/>
          <w:i w:val="0"/>
          <w:caps w:val="0"/>
          <w:spacing w:val="-11"/>
          <w:w w:val="100"/>
          <w:kern w:val="2"/>
          <w:sz w:val="44"/>
          <w:szCs w:val="44"/>
          <w:lang w:val="en-US" w:eastAsia="zh-CN" w:bidi="ar-SA"/>
        </w:rPr>
        <w:t>山西华宝绿邦高性能材料有限公司</w:t>
      </w:r>
    </w:p>
    <w:p w14:paraId="2475C342">
      <w:pPr>
        <w:snapToGrid/>
        <w:spacing w:before="0" w:beforeAutospacing="0" w:after="0" w:afterAutospacing="0" w:line="600" w:lineRule="exact"/>
        <w:jc w:val="center"/>
        <w:textAlignment w:val="baseline"/>
        <w:rPr>
          <w:rStyle w:val="10"/>
          <w:rFonts w:hint="eastAsia" w:ascii="方正小标宋简体" w:hAnsi="方正小标宋简体" w:eastAsia="方正小标宋简体"/>
          <w:b w:val="0"/>
          <w:i w:val="0"/>
          <w:caps w:val="0"/>
          <w:spacing w:val="-11"/>
          <w:w w:val="100"/>
          <w:kern w:val="2"/>
          <w:sz w:val="44"/>
          <w:szCs w:val="44"/>
          <w:lang w:val="en-US" w:eastAsia="zh-CN" w:bidi="ar-SA"/>
        </w:rPr>
      </w:pPr>
      <w:r>
        <w:rPr>
          <w:rStyle w:val="10"/>
          <w:rFonts w:hint="eastAsia" w:ascii="方正小标宋简体" w:hAnsi="方正小标宋简体" w:eastAsia="方正小标宋简体"/>
          <w:b w:val="0"/>
          <w:i w:val="0"/>
          <w:caps w:val="0"/>
          <w:spacing w:val="-11"/>
          <w:w w:val="100"/>
          <w:kern w:val="2"/>
          <w:sz w:val="44"/>
          <w:szCs w:val="44"/>
          <w:lang w:val="en-US" w:eastAsia="zh-CN" w:bidi="ar-SA"/>
        </w:rPr>
        <w:t>矿山固体废弃物资源化利用项目</w:t>
      </w:r>
    </w:p>
    <w:p w14:paraId="4A3F37D5">
      <w:pPr>
        <w:snapToGrid/>
        <w:spacing w:before="0" w:beforeAutospacing="0" w:after="0" w:afterAutospacing="0" w:line="600" w:lineRule="exact"/>
        <w:jc w:val="center"/>
        <w:textAlignment w:val="baseline"/>
        <w:rPr>
          <w:rStyle w:val="10"/>
          <w:rFonts w:ascii="方正小标宋简体" w:hAnsi="方正小标宋简体" w:eastAsia="方正小标宋简体"/>
          <w:b w:val="0"/>
          <w:i w:val="0"/>
          <w:caps w:val="0"/>
          <w:spacing w:val="-11"/>
          <w:w w:val="100"/>
          <w:kern w:val="2"/>
          <w:sz w:val="44"/>
          <w:szCs w:val="44"/>
          <w:lang w:val="en-US" w:eastAsia="zh-CN" w:bidi="ar-SA"/>
        </w:rPr>
      </w:pPr>
      <w:r>
        <w:rPr>
          <w:rStyle w:val="10"/>
          <w:rFonts w:ascii="方正小标宋简体" w:hAnsi="方正小标宋简体" w:eastAsia="方正小标宋简体"/>
          <w:b w:val="0"/>
          <w:i w:val="0"/>
          <w:caps w:val="0"/>
          <w:spacing w:val="-11"/>
          <w:w w:val="100"/>
          <w:kern w:val="2"/>
          <w:sz w:val="44"/>
          <w:szCs w:val="44"/>
          <w:lang w:val="en-US" w:eastAsia="zh-CN" w:bidi="ar-SA"/>
        </w:rPr>
        <w:t>环境影响报告表的批复</w:t>
      </w:r>
    </w:p>
    <w:p w14:paraId="760E1034">
      <w:pPr>
        <w:snapToGrid/>
        <w:spacing w:before="0" w:beforeAutospacing="0" w:after="0" w:afterAutospacing="0" w:line="240" w:lineRule="auto"/>
        <w:jc w:val="center"/>
        <w:textAlignment w:val="baseline"/>
        <w:rPr>
          <w:rStyle w:val="10"/>
          <w:rFonts w:ascii="仿宋_GB2312" w:hAnsi="仿宋_GB2312" w:eastAsia="仿宋_GB2312"/>
          <w:b w:val="0"/>
          <w:i w:val="0"/>
          <w:caps w:val="0"/>
          <w:spacing w:val="0"/>
          <w:w w:val="100"/>
          <w:kern w:val="2"/>
          <w:sz w:val="21"/>
          <w:szCs w:val="21"/>
          <w:lang w:val="en-US" w:eastAsia="zh-CN" w:bidi="ar-SA"/>
        </w:rPr>
      </w:pPr>
    </w:p>
    <w:p w14:paraId="6FAC72C1">
      <w:pPr>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hint="eastAsia" w:ascii="仿宋_GB2312" w:hAnsi="仿宋" w:eastAsia="仿宋_GB2312"/>
          <w:b w:val="0"/>
          <w:i w:val="0"/>
          <w:caps w:val="0"/>
          <w:spacing w:val="0"/>
          <w:w w:val="100"/>
          <w:kern w:val="2"/>
          <w:sz w:val="32"/>
          <w:szCs w:val="32"/>
          <w:lang w:val="en-US" w:eastAsia="zh-CN" w:bidi="ar-SA"/>
        </w:rPr>
        <w:t>山西华宝绿邦高性能材料有限公司</w:t>
      </w:r>
      <w:r>
        <w:rPr>
          <w:rStyle w:val="10"/>
          <w:rFonts w:ascii="仿宋_GB2312" w:hAnsi="仿宋_GB2312" w:eastAsia="仿宋_GB2312"/>
          <w:b w:val="0"/>
          <w:i w:val="0"/>
          <w:caps w:val="0"/>
          <w:spacing w:val="0"/>
          <w:w w:val="100"/>
          <w:kern w:val="2"/>
          <w:sz w:val="32"/>
          <w:szCs w:val="32"/>
          <w:lang w:val="en-US" w:eastAsia="zh-CN" w:bidi="ar-SA"/>
        </w:rPr>
        <w:t>：</w:t>
      </w:r>
    </w:p>
    <w:p w14:paraId="16EE0083">
      <w:pPr>
        <w:pStyle w:val="11"/>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baseline"/>
        <w:rPr>
          <w:rStyle w:val="10"/>
          <w:rFonts w:ascii="仿宋_GB2312" w:hAnsi="仿宋" w:eastAsia="仿宋_GB2312"/>
          <w:b w:val="0"/>
          <w:i w:val="0"/>
          <w:caps w:val="0"/>
          <w:spacing w:val="0"/>
          <w:w w:val="100"/>
          <w:kern w:val="2"/>
          <w:sz w:val="32"/>
          <w:szCs w:val="32"/>
          <w:lang w:val="en-US" w:eastAsia="zh-CN" w:bidi="ar-SA"/>
        </w:rPr>
      </w:pPr>
      <w:r>
        <w:rPr>
          <w:rStyle w:val="10"/>
          <w:rFonts w:ascii="仿宋_GB2312" w:hAnsi="仿宋" w:eastAsia="仿宋_GB2312"/>
          <w:b w:val="0"/>
          <w:i w:val="0"/>
          <w:caps w:val="0"/>
          <w:spacing w:val="0"/>
          <w:w w:val="100"/>
          <w:kern w:val="2"/>
          <w:sz w:val="32"/>
          <w:szCs w:val="32"/>
          <w:lang w:val="en-US" w:eastAsia="zh-CN" w:bidi="ar-SA"/>
        </w:rPr>
        <w:t>你公司</w:t>
      </w:r>
      <w:r>
        <w:rPr>
          <w:rStyle w:val="10"/>
          <w:rFonts w:hint="eastAsia" w:ascii="仿宋_GB2312" w:hAnsi="仿宋" w:eastAsia="仿宋_GB2312"/>
          <w:b w:val="0"/>
          <w:i w:val="0"/>
          <w:caps w:val="0"/>
          <w:spacing w:val="0"/>
          <w:w w:val="100"/>
          <w:kern w:val="2"/>
          <w:sz w:val="32"/>
          <w:szCs w:val="32"/>
          <w:lang w:val="en-US" w:eastAsia="zh-CN" w:bidi="ar-SA"/>
        </w:rPr>
        <w:t>关于</w:t>
      </w:r>
      <w:r>
        <w:rPr>
          <w:rStyle w:val="10"/>
          <w:rFonts w:ascii="仿宋_GB2312" w:hAnsi="仿宋" w:eastAsia="仿宋_GB2312"/>
          <w:b w:val="0"/>
          <w:i w:val="0"/>
          <w:caps w:val="0"/>
          <w:spacing w:val="0"/>
          <w:w w:val="100"/>
          <w:kern w:val="2"/>
          <w:sz w:val="32"/>
          <w:szCs w:val="32"/>
          <w:lang w:val="en-US" w:eastAsia="zh-CN" w:bidi="ar-SA"/>
        </w:rPr>
        <w:t>《</w:t>
      </w:r>
      <w:r>
        <w:rPr>
          <w:rStyle w:val="10"/>
          <w:rFonts w:hint="eastAsia" w:ascii="仿宋_GB2312" w:hAnsi="仿宋" w:eastAsia="仿宋_GB2312"/>
          <w:b w:val="0"/>
          <w:i w:val="0"/>
          <w:caps w:val="0"/>
          <w:spacing w:val="0"/>
          <w:w w:val="100"/>
          <w:kern w:val="2"/>
          <w:sz w:val="32"/>
          <w:szCs w:val="32"/>
          <w:lang w:val="en-US" w:eastAsia="zh-CN" w:bidi="ar-SA"/>
        </w:rPr>
        <w:t>山西华宝绿邦高性能材料有限公司矿山固体废弃物资源化利用项目</w:t>
      </w:r>
      <w:r>
        <w:rPr>
          <w:rStyle w:val="10"/>
          <w:rFonts w:ascii="仿宋_GB2312" w:hAnsi="仿宋" w:eastAsia="仿宋_GB2312"/>
          <w:b w:val="0"/>
          <w:i w:val="0"/>
          <w:caps w:val="0"/>
          <w:spacing w:val="0"/>
          <w:w w:val="100"/>
          <w:kern w:val="2"/>
          <w:sz w:val="32"/>
          <w:szCs w:val="32"/>
          <w:lang w:val="en-US" w:eastAsia="zh-CN" w:bidi="ar-SA"/>
        </w:rPr>
        <w:t>环境影响报告表》（以下简称《报</w:t>
      </w:r>
      <w:r>
        <w:rPr>
          <w:rStyle w:val="10"/>
          <w:rFonts w:ascii="仿宋_GB2312" w:hAnsi="仿宋" w:eastAsia="仿宋_GB2312"/>
          <w:b w:val="0"/>
          <w:i w:val="0"/>
          <w:caps w:val="0"/>
          <w:spacing w:val="-6"/>
          <w:w w:val="100"/>
          <w:kern w:val="2"/>
          <w:sz w:val="32"/>
          <w:szCs w:val="32"/>
          <w:lang w:val="en-US" w:eastAsia="zh-CN" w:bidi="ar-SA"/>
        </w:rPr>
        <w:t>告表》）相关材料收悉。</w:t>
      </w:r>
      <w:r>
        <w:rPr>
          <w:rStyle w:val="10"/>
          <w:rFonts w:hint="eastAsia" w:ascii="仿宋_GB2312" w:hAnsi="仿宋" w:eastAsia="仿宋_GB2312"/>
          <w:b w:val="0"/>
          <w:i w:val="0"/>
          <w:caps w:val="0"/>
          <w:spacing w:val="-6"/>
          <w:w w:val="100"/>
          <w:kern w:val="2"/>
          <w:sz w:val="32"/>
          <w:szCs w:val="32"/>
          <w:lang w:val="en-US" w:eastAsia="zh-CN" w:bidi="ar-SA"/>
        </w:rPr>
        <w:t>结合大同市生态环境评估中心出具的，《关于&lt;山西华宝绿邦高性能材料有限公司矿山固体废弃物资源化利用项目环境影响报告表&gt;的技术评估报告》，</w:t>
      </w:r>
      <w:r>
        <w:rPr>
          <w:rStyle w:val="10"/>
          <w:rFonts w:ascii="仿宋_GB2312" w:hAnsi="仿宋_GB2312" w:eastAsia="仿宋_GB2312"/>
          <w:b w:val="0"/>
          <w:i w:val="0"/>
          <w:caps w:val="0"/>
          <w:spacing w:val="-6"/>
          <w:w w:val="100"/>
          <w:kern w:val="2"/>
          <w:sz w:val="32"/>
          <w:szCs w:val="32"/>
          <w:lang w:val="en-US" w:eastAsia="zh-CN" w:bidi="ar-SA"/>
        </w:rPr>
        <w:t>经研究，批复如下：</w:t>
      </w:r>
    </w:p>
    <w:p w14:paraId="22EE4A37">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baseline"/>
        <w:rPr>
          <w:rStyle w:val="10"/>
          <w:rFonts w:ascii="仿宋_GB2312" w:hAnsi="仿宋_GB2312" w:eastAsia="仿宋_GB2312"/>
          <w:b w:val="0"/>
          <w:i w:val="0"/>
          <w:caps w:val="0"/>
          <w:color w:val="000000"/>
          <w:spacing w:val="-6"/>
          <w:w w:val="100"/>
          <w:sz w:val="32"/>
          <w:szCs w:val="32"/>
          <w:lang w:val="en-US" w:eastAsia="zh-CN" w:bidi="ar-SA"/>
        </w:rPr>
      </w:pPr>
      <w:r>
        <w:rPr>
          <w:rStyle w:val="10"/>
          <w:rFonts w:ascii="仿宋_GB2312" w:hAnsi="仿宋" w:eastAsia="仿宋_GB2312"/>
          <w:b w:val="0"/>
          <w:i w:val="0"/>
          <w:caps w:val="0"/>
          <w:color w:val="000000"/>
          <w:spacing w:val="0"/>
          <w:w w:val="100"/>
          <w:sz w:val="32"/>
          <w:szCs w:val="32"/>
          <w:lang w:val="en-US" w:eastAsia="zh-CN" w:bidi="ar-SA"/>
        </w:rPr>
        <w:t>一、该项目</w:t>
      </w:r>
      <w:r>
        <w:rPr>
          <w:rStyle w:val="10"/>
          <w:rFonts w:hint="eastAsia" w:ascii="仿宋_GB2312" w:hAnsi="仿宋" w:eastAsia="仿宋_GB2312"/>
          <w:b w:val="0"/>
          <w:i w:val="0"/>
          <w:caps w:val="0"/>
          <w:color w:val="000000"/>
          <w:spacing w:val="0"/>
          <w:w w:val="100"/>
          <w:sz w:val="32"/>
          <w:szCs w:val="32"/>
          <w:lang w:val="en-US" w:eastAsia="zh-CN" w:bidi="ar-SA"/>
        </w:rPr>
        <w:t>位于山西省大同市灵丘县武灵镇弋家坡村委会南400米</w:t>
      </w:r>
      <w:r>
        <w:rPr>
          <w:rStyle w:val="10"/>
          <w:rFonts w:hint="eastAsia" w:ascii="仿宋_GB2312" w:hAnsi="仿宋" w:eastAsia="仿宋_GB2312"/>
          <w:b w:val="0"/>
          <w:i w:val="0"/>
          <w:caps w:val="0"/>
          <w:color w:val="auto"/>
          <w:spacing w:val="0"/>
          <w:w w:val="100"/>
          <w:sz w:val="32"/>
          <w:szCs w:val="32"/>
          <w:lang w:val="en-US" w:eastAsia="zh-CN" w:bidi="ar-SA"/>
        </w:rPr>
        <w:t>。</w:t>
      </w:r>
      <w:r>
        <w:rPr>
          <w:rStyle w:val="10"/>
          <w:rFonts w:hint="default" w:ascii="仿宋_GB2312" w:hAnsi="仿宋" w:eastAsia="仿宋_GB2312" w:cs="Times New Roman"/>
          <w:b w:val="0"/>
          <w:i w:val="0"/>
          <w:caps w:val="0"/>
          <w:spacing w:val="-6"/>
          <w:w w:val="100"/>
          <w:kern w:val="2"/>
          <w:sz w:val="32"/>
          <w:szCs w:val="32"/>
          <w:lang w:val="en-US" w:eastAsia="zh-CN" w:bidi="ar-SA"/>
        </w:rPr>
        <w:t>用地面积</w:t>
      </w:r>
      <w:r>
        <w:rPr>
          <w:rStyle w:val="10"/>
          <w:rFonts w:hint="eastAsia" w:ascii="仿宋_GB2312" w:hAnsi="仿宋" w:eastAsia="仿宋_GB2312"/>
          <w:b w:val="0"/>
          <w:i w:val="0"/>
          <w:caps w:val="0"/>
          <w:color w:val="auto"/>
          <w:spacing w:val="0"/>
          <w:w w:val="100"/>
          <w:sz w:val="32"/>
          <w:szCs w:val="32"/>
          <w:lang w:val="en-US" w:eastAsia="zh-CN" w:bidi="ar-SA"/>
        </w:rPr>
        <w:t>10000</w:t>
      </w:r>
      <w:r>
        <w:rPr>
          <w:rStyle w:val="10"/>
          <w:rFonts w:hint="default" w:ascii="仿宋_GB2312" w:hAnsi="仿宋" w:eastAsia="仿宋_GB2312" w:cs="Times New Roman"/>
          <w:b w:val="0"/>
          <w:i w:val="0"/>
          <w:caps w:val="0"/>
          <w:spacing w:val="-6"/>
          <w:w w:val="100"/>
          <w:kern w:val="2"/>
          <w:sz w:val="32"/>
          <w:szCs w:val="32"/>
          <w:lang w:val="en-US" w:eastAsia="zh-CN" w:bidi="ar-SA"/>
        </w:rPr>
        <w:t>m</w:t>
      </w:r>
      <w:r>
        <w:rPr>
          <w:rStyle w:val="10"/>
          <w:rFonts w:hint="default" w:ascii="仿宋_GB2312" w:hAnsi="仿宋" w:eastAsia="仿宋_GB2312" w:cs="Times New Roman"/>
          <w:b w:val="0"/>
          <w:i w:val="0"/>
          <w:caps w:val="0"/>
          <w:spacing w:val="-6"/>
          <w:w w:val="100"/>
          <w:kern w:val="2"/>
          <w:sz w:val="32"/>
          <w:szCs w:val="32"/>
          <w:vertAlign w:val="superscript"/>
          <w:lang w:val="en-US" w:eastAsia="zh-CN" w:bidi="ar-SA"/>
        </w:rPr>
        <w:t>2</w:t>
      </w:r>
      <w:r>
        <w:rPr>
          <w:rStyle w:val="10"/>
          <w:rFonts w:hint="eastAsia" w:ascii="仿宋_GB2312" w:hAnsi="仿宋" w:eastAsia="仿宋_GB2312" w:cs="Times New Roman"/>
          <w:b w:val="0"/>
          <w:i w:val="0"/>
          <w:caps w:val="0"/>
          <w:spacing w:val="-6"/>
          <w:w w:val="100"/>
          <w:kern w:val="2"/>
          <w:sz w:val="32"/>
          <w:szCs w:val="32"/>
          <w:lang w:val="en-US" w:eastAsia="zh-CN" w:bidi="ar-SA"/>
        </w:rPr>
        <w:t>，新建钢结构生产车间7500</w:t>
      </w:r>
      <w:r>
        <w:rPr>
          <w:rStyle w:val="10"/>
          <w:rFonts w:hint="default" w:ascii="仿宋_GB2312" w:hAnsi="仿宋" w:eastAsia="仿宋_GB2312" w:cs="Times New Roman"/>
          <w:b w:val="0"/>
          <w:i w:val="0"/>
          <w:caps w:val="0"/>
          <w:spacing w:val="-6"/>
          <w:w w:val="100"/>
          <w:kern w:val="2"/>
          <w:sz w:val="32"/>
          <w:szCs w:val="32"/>
          <w:lang w:val="en-US" w:eastAsia="zh-CN" w:bidi="ar-SA"/>
        </w:rPr>
        <w:t>m</w:t>
      </w:r>
      <w:r>
        <w:rPr>
          <w:rStyle w:val="10"/>
          <w:rFonts w:hint="default" w:ascii="仿宋_GB2312" w:hAnsi="仿宋" w:eastAsia="仿宋_GB2312" w:cs="Times New Roman"/>
          <w:b w:val="0"/>
          <w:i w:val="0"/>
          <w:caps w:val="0"/>
          <w:spacing w:val="-6"/>
          <w:w w:val="100"/>
          <w:kern w:val="2"/>
          <w:sz w:val="32"/>
          <w:szCs w:val="32"/>
          <w:vertAlign w:val="superscript"/>
          <w:lang w:val="en-US" w:eastAsia="zh-CN" w:bidi="ar-SA"/>
        </w:rPr>
        <w:t>2</w:t>
      </w:r>
      <w:r>
        <w:rPr>
          <w:rStyle w:val="10"/>
          <w:rFonts w:hint="eastAsia" w:ascii="仿宋_GB2312" w:hAnsi="仿宋" w:eastAsia="仿宋_GB2312" w:cs="Times New Roman"/>
          <w:b w:val="0"/>
          <w:i w:val="0"/>
          <w:caps w:val="0"/>
          <w:spacing w:val="-6"/>
          <w:w w:val="100"/>
          <w:kern w:val="2"/>
          <w:sz w:val="32"/>
          <w:szCs w:val="32"/>
          <w:lang w:val="en-US" w:eastAsia="zh-CN" w:bidi="ar-SA"/>
        </w:rPr>
        <w:t>，办公及研发设施500</w:t>
      </w:r>
      <w:r>
        <w:rPr>
          <w:rStyle w:val="10"/>
          <w:rFonts w:hint="default" w:ascii="仿宋_GB2312" w:hAnsi="仿宋" w:eastAsia="仿宋_GB2312" w:cs="Times New Roman"/>
          <w:b w:val="0"/>
          <w:i w:val="0"/>
          <w:caps w:val="0"/>
          <w:spacing w:val="-6"/>
          <w:w w:val="100"/>
          <w:kern w:val="2"/>
          <w:sz w:val="32"/>
          <w:szCs w:val="32"/>
          <w:lang w:val="en-US" w:eastAsia="zh-CN" w:bidi="ar-SA"/>
        </w:rPr>
        <w:t>m</w:t>
      </w:r>
      <w:r>
        <w:rPr>
          <w:rStyle w:val="10"/>
          <w:rFonts w:hint="default" w:ascii="仿宋_GB2312" w:hAnsi="仿宋" w:eastAsia="仿宋_GB2312" w:cs="Times New Roman"/>
          <w:b w:val="0"/>
          <w:i w:val="0"/>
          <w:caps w:val="0"/>
          <w:spacing w:val="-6"/>
          <w:w w:val="100"/>
          <w:kern w:val="2"/>
          <w:sz w:val="32"/>
          <w:szCs w:val="32"/>
          <w:vertAlign w:val="superscript"/>
          <w:lang w:val="en-US" w:eastAsia="zh-CN" w:bidi="ar-SA"/>
        </w:rPr>
        <w:t>2</w:t>
      </w:r>
      <w:r>
        <w:rPr>
          <w:rStyle w:val="10"/>
          <w:rFonts w:hint="eastAsia" w:ascii="仿宋_GB2312" w:hAnsi="仿宋" w:eastAsia="仿宋_GB2312" w:cs="Times New Roman"/>
          <w:b w:val="0"/>
          <w:i w:val="0"/>
          <w:caps w:val="0"/>
          <w:spacing w:val="-6"/>
          <w:w w:val="100"/>
          <w:kern w:val="2"/>
          <w:sz w:val="32"/>
          <w:szCs w:val="32"/>
          <w:lang w:val="en-US" w:eastAsia="zh-CN" w:bidi="ar-SA"/>
        </w:rPr>
        <w:t>。安装年处理矿山固体废弃物20万吨的磨矿破碎分级生产线1条、年产8万吨的动物饲料矿物添加剂生产线1条、年产4万吨的彩砂生产线1条、单线年产2万吨的干混砂浆生产线5条。配套供电、环保、绿化、硬化照明等设施。</w:t>
      </w:r>
      <w:r>
        <w:rPr>
          <w:rStyle w:val="10"/>
          <w:rFonts w:ascii="仿宋_GB2312" w:hAnsi="仿宋" w:eastAsia="仿宋_GB2312"/>
          <w:b w:val="0"/>
          <w:i w:val="0"/>
          <w:caps w:val="0"/>
          <w:color w:val="auto"/>
          <w:spacing w:val="0"/>
          <w:w w:val="100"/>
          <w:sz w:val="32"/>
          <w:szCs w:val="32"/>
          <w:lang w:val="en-US" w:eastAsia="zh-CN" w:bidi="ar-SA"/>
        </w:rPr>
        <w:t>项目总投资为</w:t>
      </w:r>
      <w:r>
        <w:rPr>
          <w:rStyle w:val="10"/>
          <w:rFonts w:hint="eastAsia" w:ascii="仿宋_GB2312" w:hAnsi="仿宋" w:eastAsia="仿宋_GB2312"/>
          <w:b w:val="0"/>
          <w:i w:val="0"/>
          <w:caps w:val="0"/>
          <w:color w:val="auto"/>
          <w:spacing w:val="0"/>
          <w:w w:val="100"/>
          <w:sz w:val="32"/>
          <w:szCs w:val="32"/>
          <w:lang w:val="en-US" w:eastAsia="zh-CN" w:bidi="ar-SA"/>
        </w:rPr>
        <w:t>1600</w:t>
      </w:r>
      <w:r>
        <w:rPr>
          <w:rStyle w:val="10"/>
          <w:rFonts w:ascii="仿宋_GB2312" w:hAnsi="仿宋" w:eastAsia="仿宋_GB2312"/>
          <w:b w:val="0"/>
          <w:i w:val="0"/>
          <w:caps w:val="0"/>
          <w:color w:val="auto"/>
          <w:spacing w:val="0"/>
          <w:w w:val="100"/>
          <w:sz w:val="32"/>
          <w:szCs w:val="32"/>
          <w:lang w:val="en-US" w:eastAsia="zh-CN" w:bidi="ar-SA"/>
        </w:rPr>
        <w:t>万元，环保投资</w:t>
      </w:r>
      <w:r>
        <w:rPr>
          <w:rStyle w:val="10"/>
          <w:rFonts w:hint="eastAsia" w:ascii="仿宋_GB2312" w:hAnsi="仿宋" w:eastAsia="仿宋_GB2312"/>
          <w:b w:val="0"/>
          <w:i w:val="0"/>
          <w:caps w:val="0"/>
          <w:color w:val="auto"/>
          <w:spacing w:val="0"/>
          <w:w w:val="100"/>
          <w:sz w:val="32"/>
          <w:szCs w:val="32"/>
          <w:lang w:val="en-US" w:eastAsia="zh-CN" w:bidi="ar-SA"/>
        </w:rPr>
        <w:t>87</w:t>
      </w:r>
      <w:r>
        <w:rPr>
          <w:rStyle w:val="10"/>
          <w:rFonts w:ascii="仿宋_GB2312" w:hAnsi="仿宋" w:eastAsia="仿宋_GB2312"/>
          <w:b w:val="0"/>
          <w:i w:val="0"/>
          <w:caps w:val="0"/>
          <w:color w:val="auto"/>
          <w:spacing w:val="0"/>
          <w:w w:val="100"/>
          <w:sz w:val="32"/>
          <w:szCs w:val="32"/>
          <w:lang w:val="en-US" w:eastAsia="zh-CN" w:bidi="ar-SA"/>
        </w:rPr>
        <w:t>万元，占总投资比例的</w:t>
      </w:r>
      <w:r>
        <w:rPr>
          <w:rStyle w:val="10"/>
          <w:rFonts w:hint="eastAsia" w:ascii="仿宋_GB2312" w:hAnsi="仿宋" w:eastAsia="仿宋_GB2312"/>
          <w:b w:val="0"/>
          <w:i w:val="0"/>
          <w:caps w:val="0"/>
          <w:color w:val="auto"/>
          <w:spacing w:val="0"/>
          <w:w w:val="100"/>
          <w:sz w:val="32"/>
          <w:szCs w:val="32"/>
          <w:lang w:val="en-US" w:eastAsia="zh-CN" w:bidi="ar-SA"/>
        </w:rPr>
        <w:t>5.4%</w:t>
      </w:r>
      <w:r>
        <w:rPr>
          <w:rStyle w:val="10"/>
          <w:rFonts w:ascii="仿宋_GB2312" w:hAnsi="仿宋" w:eastAsia="仿宋_GB2312"/>
          <w:b w:val="0"/>
          <w:i w:val="0"/>
          <w:caps w:val="0"/>
          <w:color w:val="auto"/>
          <w:spacing w:val="0"/>
          <w:w w:val="100"/>
          <w:sz w:val="32"/>
          <w:szCs w:val="32"/>
          <w:lang w:val="en-US" w:eastAsia="zh-CN" w:bidi="ar-SA"/>
        </w:rPr>
        <w:t>。</w:t>
      </w:r>
      <w:r>
        <w:rPr>
          <w:rStyle w:val="10"/>
          <w:rFonts w:hint="eastAsia" w:ascii="仿宋_GB2312" w:hAnsi="仿宋" w:eastAsia="仿宋_GB2312"/>
          <w:b w:val="0"/>
          <w:i w:val="0"/>
          <w:caps w:val="0"/>
          <w:color w:val="000000"/>
          <w:spacing w:val="0"/>
          <w:w w:val="100"/>
          <w:sz w:val="32"/>
          <w:szCs w:val="32"/>
          <w:lang w:val="en-US" w:eastAsia="zh-CN" w:bidi="ar-SA"/>
        </w:rPr>
        <w:t>根据《产业结构调整指导目录（2024年本）》，该项目属于为允许类，灵丘县发展改革和科技局对该项目予</w:t>
      </w:r>
      <w:r>
        <w:rPr>
          <w:rStyle w:val="10"/>
          <w:rFonts w:hint="eastAsia" w:ascii="仿宋_GB2312" w:hAnsi="仿宋" w:eastAsia="仿宋_GB2312"/>
          <w:b w:val="0"/>
          <w:i w:val="0"/>
          <w:caps w:val="0"/>
          <w:color w:val="000000"/>
          <w:spacing w:val="-6"/>
          <w:w w:val="100"/>
          <w:sz w:val="32"/>
          <w:szCs w:val="32"/>
          <w:lang w:val="en-US" w:eastAsia="zh-CN" w:bidi="ar-SA"/>
        </w:rPr>
        <w:t>以备案，项目代码：2410-140224-89-01-807698。</w:t>
      </w:r>
      <w:r>
        <w:rPr>
          <w:rStyle w:val="10"/>
          <w:rFonts w:ascii="仿宋_GB2312" w:hAnsi="仿宋" w:eastAsia="仿宋_GB2312"/>
          <w:b w:val="0"/>
          <w:i w:val="0"/>
          <w:caps w:val="0"/>
          <w:color w:val="000000"/>
          <w:spacing w:val="-6"/>
          <w:w w:val="100"/>
          <w:sz w:val="32"/>
          <w:szCs w:val="32"/>
          <w:lang w:val="en-US" w:eastAsia="zh-CN" w:bidi="ar-SA"/>
        </w:rPr>
        <w:t>在全面落实《报告表》提出的污染防治和生态保护措施的前提下，工程建设对环境的不利影响可得到缓解和控制。我</w:t>
      </w:r>
      <w:r>
        <w:rPr>
          <w:rStyle w:val="10"/>
          <w:rFonts w:hint="eastAsia" w:ascii="仿宋_GB2312" w:hAnsi="仿宋" w:eastAsia="仿宋_GB2312"/>
          <w:b w:val="0"/>
          <w:i w:val="0"/>
          <w:caps w:val="0"/>
          <w:color w:val="000000"/>
          <w:spacing w:val="-6"/>
          <w:w w:val="100"/>
          <w:sz w:val="32"/>
          <w:szCs w:val="32"/>
          <w:lang w:val="en-US" w:eastAsia="zh-CN" w:bidi="ar-SA"/>
        </w:rPr>
        <w:t>分</w:t>
      </w:r>
      <w:r>
        <w:rPr>
          <w:rStyle w:val="10"/>
          <w:rFonts w:ascii="仿宋_GB2312" w:hAnsi="仿宋" w:eastAsia="仿宋_GB2312"/>
          <w:b w:val="0"/>
          <w:i w:val="0"/>
          <w:caps w:val="0"/>
          <w:color w:val="000000"/>
          <w:spacing w:val="-6"/>
          <w:w w:val="100"/>
          <w:sz w:val="32"/>
          <w:szCs w:val="32"/>
          <w:lang w:val="en-US" w:eastAsia="zh-CN" w:bidi="ar-SA"/>
        </w:rPr>
        <w:t>局原则同意《报告表》所列建设项目的性质、规模、地点、采用的生产工艺和采取的环境保护措施。</w:t>
      </w:r>
    </w:p>
    <w:p w14:paraId="58211E2E">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firstLine="616" w:firstLineChars="200"/>
        <w:jc w:val="both"/>
        <w:textAlignment w:val="baseline"/>
        <w:rPr>
          <w:rStyle w:val="10"/>
          <w:rFonts w:ascii="仿宋_GB2312" w:hAnsi="仿宋_GB2312" w:eastAsia="仿宋_GB2312"/>
          <w:b w:val="0"/>
          <w:i w:val="0"/>
          <w:caps w:val="0"/>
          <w:color w:val="000000"/>
          <w:spacing w:val="-6"/>
          <w:w w:val="100"/>
          <w:kern w:val="2"/>
          <w:sz w:val="32"/>
          <w:szCs w:val="32"/>
          <w:lang w:val="en-US" w:eastAsia="zh-CN" w:bidi="ar-SA"/>
        </w:rPr>
      </w:pPr>
      <w:r>
        <w:rPr>
          <w:rStyle w:val="10"/>
          <w:rFonts w:ascii="仿宋_GB2312" w:hAnsi="仿宋_GB2312" w:eastAsia="仿宋_GB2312"/>
          <w:b w:val="0"/>
          <w:i w:val="0"/>
          <w:caps w:val="0"/>
          <w:spacing w:val="-6"/>
          <w:w w:val="100"/>
          <w:kern w:val="2"/>
          <w:sz w:val="32"/>
          <w:szCs w:val="32"/>
          <w:lang w:val="en-US" w:eastAsia="zh-CN" w:bidi="ar-SA"/>
        </w:rPr>
        <w:t>二、</w:t>
      </w:r>
      <w:r>
        <w:rPr>
          <w:rStyle w:val="10"/>
          <w:rFonts w:ascii="仿宋_GB2312" w:hAnsi="仿宋_GB2312" w:eastAsia="仿宋_GB2312"/>
          <w:b w:val="0"/>
          <w:i w:val="0"/>
          <w:caps w:val="0"/>
          <w:color w:val="000000"/>
          <w:spacing w:val="-6"/>
          <w:w w:val="100"/>
          <w:kern w:val="2"/>
          <w:sz w:val="32"/>
          <w:szCs w:val="32"/>
          <w:lang w:val="en-US" w:eastAsia="zh-CN" w:bidi="ar-SA"/>
        </w:rPr>
        <w:t>在项目建设和运行管理中，必须对照《报告表》逐一落实各项环保对策措施，重点做好以下工作：</w:t>
      </w:r>
    </w:p>
    <w:p w14:paraId="02E1098D">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16" w:firstLineChars="200"/>
        <w:jc w:val="both"/>
        <w:textAlignment w:val="baseline"/>
        <w:rPr>
          <w:rStyle w:val="10"/>
          <w:rFonts w:ascii="仿宋_GB2312" w:hAnsi="仿宋_GB2312" w:eastAsia="仿宋_GB2312"/>
          <w:b w:val="0"/>
          <w:i w:val="0"/>
          <w:caps w:val="0"/>
          <w:color w:val="000000"/>
          <w:spacing w:val="-6"/>
          <w:w w:val="100"/>
          <w:kern w:val="2"/>
          <w:sz w:val="32"/>
          <w:szCs w:val="32"/>
          <w:lang w:val="en-US" w:eastAsia="zh-CN" w:bidi="ar-SA"/>
        </w:rPr>
      </w:pPr>
      <w:r>
        <w:rPr>
          <w:rStyle w:val="10"/>
          <w:rFonts w:ascii="仿宋_GB2312" w:hAnsi="仿宋_GB2312" w:eastAsia="仿宋_GB2312"/>
          <w:b w:val="0"/>
          <w:i w:val="0"/>
          <w:caps w:val="0"/>
          <w:color w:val="000000"/>
          <w:spacing w:val="-6"/>
          <w:w w:val="100"/>
          <w:kern w:val="2"/>
          <w:sz w:val="32"/>
          <w:szCs w:val="32"/>
          <w:lang w:val="en-US" w:eastAsia="zh-CN" w:bidi="ar-SA"/>
        </w:rPr>
        <w:t>1、认真做好施工期环境保护工作，</w:t>
      </w:r>
      <w:r>
        <w:rPr>
          <w:rStyle w:val="10"/>
          <w:rFonts w:hint="eastAsia" w:ascii="仿宋_GB2312" w:hAnsi="仿宋_GB2312" w:eastAsia="仿宋_GB2312"/>
          <w:b w:val="0"/>
          <w:i w:val="0"/>
          <w:caps w:val="0"/>
          <w:color w:val="000000"/>
          <w:spacing w:val="-6"/>
          <w:w w:val="100"/>
          <w:kern w:val="2"/>
          <w:sz w:val="32"/>
          <w:szCs w:val="32"/>
          <w:lang w:val="en-US" w:eastAsia="zh-CN" w:bidi="ar-SA"/>
        </w:rPr>
        <w:t>施工过程严格落实“六个百分之百”，</w:t>
      </w:r>
      <w:r>
        <w:rPr>
          <w:rStyle w:val="10"/>
          <w:rFonts w:ascii="仿宋_GB2312" w:hAnsi="仿宋_GB2312" w:eastAsia="仿宋_GB2312"/>
          <w:b w:val="0"/>
          <w:i w:val="0"/>
          <w:caps w:val="0"/>
          <w:color w:val="000000"/>
          <w:spacing w:val="-6"/>
          <w:w w:val="100"/>
          <w:kern w:val="2"/>
          <w:sz w:val="32"/>
          <w:szCs w:val="32"/>
          <w:lang w:val="en-US" w:eastAsia="zh-CN" w:bidi="ar-SA"/>
        </w:rPr>
        <w:t>加强</w:t>
      </w:r>
      <w:r>
        <w:rPr>
          <w:rStyle w:val="10"/>
          <w:rFonts w:hint="eastAsia" w:ascii="仿宋_GB2312" w:hAnsi="仿宋_GB2312" w:eastAsia="仿宋_GB2312"/>
          <w:b w:val="0"/>
          <w:i w:val="0"/>
          <w:caps w:val="0"/>
          <w:color w:val="000000"/>
          <w:spacing w:val="-6"/>
          <w:w w:val="100"/>
          <w:kern w:val="2"/>
          <w:sz w:val="32"/>
          <w:szCs w:val="32"/>
          <w:lang w:val="en-US" w:eastAsia="zh-CN" w:bidi="ar-SA"/>
        </w:rPr>
        <w:t>废水、噪声、固体废物</w:t>
      </w:r>
      <w:r>
        <w:rPr>
          <w:rStyle w:val="10"/>
          <w:rFonts w:ascii="仿宋_GB2312" w:hAnsi="仿宋_GB2312" w:eastAsia="仿宋_GB2312"/>
          <w:b w:val="0"/>
          <w:i w:val="0"/>
          <w:caps w:val="0"/>
          <w:color w:val="000000"/>
          <w:spacing w:val="-6"/>
          <w:w w:val="100"/>
          <w:kern w:val="2"/>
          <w:sz w:val="32"/>
          <w:szCs w:val="32"/>
          <w:lang w:val="en-US" w:eastAsia="zh-CN" w:bidi="ar-SA"/>
        </w:rPr>
        <w:t>环境管理，落实《报</w:t>
      </w:r>
      <w:r>
        <w:rPr>
          <w:rStyle w:val="10"/>
          <w:rFonts w:ascii="仿宋_GB2312" w:hAnsi="仿宋_GB2312" w:eastAsia="仿宋_GB2312"/>
          <w:b w:val="0"/>
          <w:i w:val="0"/>
          <w:caps w:val="0"/>
          <w:color w:val="000000"/>
          <w:spacing w:val="-11"/>
          <w:w w:val="100"/>
          <w:kern w:val="2"/>
          <w:sz w:val="32"/>
          <w:szCs w:val="32"/>
          <w:lang w:val="en-US" w:eastAsia="zh-CN" w:bidi="ar-SA"/>
        </w:rPr>
        <w:t>告表》提出的各项污染防治及生态保护措施，降低对周边的影响。</w:t>
      </w:r>
    </w:p>
    <w:p w14:paraId="2C3FB389">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16" w:firstLineChars="200"/>
        <w:jc w:val="both"/>
        <w:textAlignment w:val="baseline"/>
        <w:rPr>
          <w:rStyle w:val="10"/>
          <w:rFonts w:ascii="仿宋_GB2312" w:hAnsi="仿宋_GB2312" w:eastAsia="仿宋_GB2312"/>
          <w:b w:val="0"/>
          <w:i w:val="0"/>
          <w:caps w:val="0"/>
          <w:color w:val="0000FF"/>
          <w:spacing w:val="-6"/>
          <w:w w:val="100"/>
          <w:kern w:val="2"/>
          <w:sz w:val="32"/>
          <w:szCs w:val="32"/>
          <w:lang w:val="en-US" w:eastAsia="zh-CN" w:bidi="ar-SA"/>
        </w:rPr>
      </w:pPr>
      <w:r>
        <w:rPr>
          <w:rStyle w:val="10"/>
          <w:rFonts w:ascii="仿宋_GB2312" w:hAnsi="仿宋_GB2312" w:eastAsia="仿宋_GB2312"/>
          <w:b w:val="0"/>
          <w:i w:val="0"/>
          <w:caps w:val="0"/>
          <w:color w:val="000000"/>
          <w:spacing w:val="-6"/>
          <w:w w:val="100"/>
          <w:kern w:val="2"/>
          <w:sz w:val="32"/>
          <w:szCs w:val="32"/>
          <w:lang w:val="en-US" w:eastAsia="zh-CN" w:bidi="ar-SA"/>
        </w:rPr>
        <w:t>2、废气污染防治措施。运营期</w:t>
      </w:r>
      <w:r>
        <w:rPr>
          <w:rStyle w:val="10"/>
          <w:rFonts w:hint="eastAsia" w:ascii="仿宋_GB2312" w:hAnsi="仿宋_GB2312" w:eastAsia="仿宋_GB2312"/>
          <w:b w:val="0"/>
          <w:i w:val="0"/>
          <w:caps w:val="0"/>
          <w:color w:val="000000"/>
          <w:spacing w:val="-6"/>
          <w:w w:val="100"/>
          <w:kern w:val="2"/>
          <w:sz w:val="32"/>
          <w:szCs w:val="32"/>
          <w:lang w:val="en-US" w:eastAsia="zh-CN" w:bidi="ar-SA"/>
        </w:rPr>
        <w:t>原料制备、彩砂、动物饲料矿物质添加剂生产线、干混砂浆生产线,各破碎机设置集气罩，废气收集后引入共用的布袋除尘器处理后分别经15m高排气筒排放。彩砂、动物饲料矿物质添加剂生产线、干混砂浆生产线筒仓呼吸口产生的粉尘经布袋除尘器处理后，废气引入联通管道经15m高排气筒排放。干混砂浆生产线搅拌粉尘通过引风管引入和破碎系统共用的除尘器进行处理后由15m高的排气筒排放。装卸产生的扬尘，要设全封闭原料库（采用钢结构，地面防渗硬化），并配套建设抑尘雾炮机，车辆出入口采用自动感应密闭门。输送产生的粉尘，输送皮带要采取全封闭措施；运输车辆不得超载，减速慢行，定期洒水，设置车辆冲洗平台。运营期项目粉尘执行《水泥工业大气污染物排放标准》（GB4915-2013）中大气污染物特别排放限值。原料制备过程中产生的废气为颗粒物，执行《大气污染物综合排放标准》（GB 16297-1996）表2中的二级标准及无组织排放浓度限值。</w:t>
      </w:r>
    </w:p>
    <w:p w14:paraId="7F196F70">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16" w:firstLineChars="200"/>
        <w:jc w:val="both"/>
        <w:textAlignment w:val="baseline"/>
        <w:rPr>
          <w:rStyle w:val="10"/>
          <w:rFonts w:ascii="仿宋_GB2312" w:hAnsi="仿宋_GB2312" w:eastAsia="仿宋_GB2312"/>
          <w:b w:val="0"/>
          <w:i w:val="0"/>
          <w:caps w:val="0"/>
          <w:color w:val="000000"/>
          <w:spacing w:val="-6"/>
          <w:w w:val="100"/>
          <w:kern w:val="2"/>
          <w:sz w:val="32"/>
          <w:szCs w:val="32"/>
          <w:lang w:val="en-US" w:eastAsia="zh-CN" w:bidi="ar-SA"/>
        </w:rPr>
      </w:pPr>
      <w:r>
        <w:rPr>
          <w:rStyle w:val="10"/>
          <w:rFonts w:ascii="仿宋_GB2312" w:hAnsi="仿宋_GB2312" w:eastAsia="仿宋_GB2312"/>
          <w:b w:val="0"/>
          <w:i w:val="0"/>
          <w:caps w:val="0"/>
          <w:color w:val="000000"/>
          <w:spacing w:val="-6"/>
          <w:w w:val="100"/>
          <w:kern w:val="2"/>
          <w:sz w:val="32"/>
          <w:szCs w:val="32"/>
          <w:lang w:val="en-US" w:eastAsia="zh-CN" w:bidi="ar-SA"/>
        </w:rPr>
        <w:t>3、废水污染防治措施。</w:t>
      </w:r>
      <w:r>
        <w:rPr>
          <w:rStyle w:val="10"/>
          <w:rFonts w:hint="eastAsia" w:ascii="仿宋_GB2312" w:hAnsi="仿宋_GB2312" w:eastAsia="仿宋_GB2312"/>
          <w:b w:val="0"/>
          <w:i w:val="0"/>
          <w:caps w:val="0"/>
          <w:color w:val="000000"/>
          <w:spacing w:val="-6"/>
          <w:w w:val="100"/>
          <w:kern w:val="2"/>
          <w:sz w:val="32"/>
          <w:szCs w:val="32"/>
          <w:lang w:val="en-US" w:eastAsia="zh-CN" w:bidi="ar-SA"/>
        </w:rPr>
        <w:t>运营期运输车辆冲洗水经沉淀池沉淀处理后循环使用，不外排。生活污水排入旱厕，定期由附近农民清掏外运，用于农田施肥。</w:t>
      </w:r>
    </w:p>
    <w:p w14:paraId="7EED5002">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jc w:val="both"/>
        <w:textAlignment w:val="baseline"/>
        <w:rPr>
          <w:rStyle w:val="10"/>
          <w:rFonts w:ascii="仿宋_GB2312" w:hAnsi="仿宋_GB2312" w:eastAsia="仿宋_GB2312"/>
          <w:b w:val="0"/>
          <w:i w:val="0"/>
          <w:caps w:val="0"/>
          <w:color w:val="000000"/>
          <w:spacing w:val="-6"/>
          <w:w w:val="100"/>
          <w:kern w:val="2"/>
          <w:sz w:val="32"/>
          <w:szCs w:val="32"/>
          <w:lang w:val="en-US" w:eastAsia="zh-CN" w:bidi="ar-SA"/>
        </w:rPr>
      </w:pPr>
      <w:r>
        <w:rPr>
          <w:rStyle w:val="10"/>
          <w:rFonts w:ascii="仿宋_GB2312" w:hAnsi="仿宋_GB2312" w:eastAsia="仿宋_GB2312"/>
          <w:b w:val="0"/>
          <w:i w:val="0"/>
          <w:caps w:val="0"/>
          <w:color w:val="000000"/>
          <w:spacing w:val="-6"/>
          <w:w w:val="100"/>
          <w:kern w:val="2"/>
          <w:sz w:val="32"/>
          <w:szCs w:val="32"/>
          <w:lang w:val="en-US" w:eastAsia="zh-CN" w:bidi="ar-SA"/>
        </w:rPr>
        <w:t>4、噪声污染防治措施。</w:t>
      </w:r>
      <w:r>
        <w:rPr>
          <w:rStyle w:val="10"/>
          <w:rFonts w:hint="eastAsia" w:ascii="仿宋_GB2312" w:hAnsi="仿宋_GB2312" w:eastAsia="仿宋_GB2312"/>
          <w:b w:val="0"/>
          <w:i w:val="0"/>
          <w:caps w:val="0"/>
          <w:color w:val="000000"/>
          <w:spacing w:val="-6"/>
          <w:w w:val="100"/>
          <w:kern w:val="2"/>
          <w:sz w:val="32"/>
          <w:szCs w:val="32"/>
          <w:lang w:val="en-US" w:eastAsia="zh-CN" w:bidi="ar-SA"/>
        </w:rPr>
        <w:t>运营期要选用低噪声设备，室内安装、基础减振、厂房隔声。运营期厂界噪声排放执行《工业企业厂界环境噪声排放标准》（GB12348-2008）2类标准。</w:t>
      </w:r>
    </w:p>
    <w:p w14:paraId="731CFE59">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jc w:val="both"/>
        <w:textAlignment w:val="baseline"/>
        <w:rPr>
          <w:rStyle w:val="10"/>
          <w:rFonts w:ascii="仿宋_GB2312" w:hAnsi="仿宋_GB2312" w:eastAsia="仿宋_GB2312"/>
          <w:b w:val="0"/>
          <w:i w:val="0"/>
          <w:caps w:val="0"/>
          <w:color w:val="auto"/>
          <w:spacing w:val="-6"/>
          <w:w w:val="100"/>
          <w:kern w:val="2"/>
          <w:sz w:val="32"/>
          <w:szCs w:val="32"/>
          <w:lang w:val="en-US" w:eastAsia="zh-CN" w:bidi="ar-SA"/>
        </w:rPr>
      </w:pPr>
      <w:r>
        <w:rPr>
          <w:rStyle w:val="10"/>
          <w:rFonts w:ascii="仿宋_GB2312" w:hAnsi="仿宋_GB2312" w:eastAsia="仿宋_GB2312"/>
          <w:b w:val="0"/>
          <w:i w:val="0"/>
          <w:caps w:val="0"/>
          <w:color w:val="000000"/>
          <w:spacing w:val="-6"/>
          <w:w w:val="100"/>
          <w:kern w:val="2"/>
          <w:sz w:val="32"/>
          <w:szCs w:val="32"/>
          <w:lang w:val="en-US" w:eastAsia="zh-CN" w:bidi="ar-SA"/>
        </w:rPr>
        <w:t>5、固体废物污染防治措施。运营期</w:t>
      </w:r>
      <w:r>
        <w:rPr>
          <w:rStyle w:val="10"/>
          <w:rFonts w:hint="eastAsia" w:ascii="仿宋_GB2312" w:hAnsi="仿宋_GB2312" w:eastAsia="仿宋_GB2312"/>
          <w:b w:val="0"/>
          <w:i w:val="0"/>
          <w:caps w:val="0"/>
          <w:color w:val="000000"/>
          <w:spacing w:val="-6"/>
          <w:w w:val="100"/>
          <w:kern w:val="2"/>
          <w:sz w:val="32"/>
          <w:szCs w:val="32"/>
          <w:lang w:val="en-US" w:eastAsia="zh-CN" w:bidi="ar-SA"/>
        </w:rPr>
        <w:t>除尘灰返回中间料仓，作为生产原料继续使用；设备维护废机油，在厂内危废库暂存，全部交由有资质单位处理。在厂区内设封闭式垃圾箱收集后，由环卫部门定时清运。运营期</w:t>
      </w:r>
      <w:r>
        <w:rPr>
          <w:rStyle w:val="10"/>
          <w:rFonts w:hint="eastAsia" w:ascii="仿宋_GB2312" w:hAnsi="仿宋_GB2312" w:eastAsia="仿宋_GB2312"/>
          <w:b w:val="0"/>
          <w:i w:val="0"/>
          <w:caps w:val="0"/>
          <w:color w:val="auto"/>
          <w:spacing w:val="-6"/>
          <w:w w:val="100"/>
          <w:kern w:val="2"/>
          <w:sz w:val="32"/>
          <w:szCs w:val="32"/>
          <w:lang w:val="en-US" w:eastAsia="zh-CN" w:bidi="ar-SA"/>
        </w:rPr>
        <w:t>一般固体废物处置执行《一般工业固体废物贮存和填埋污染控制标准》（GB18599-2020）中的有关规定。危险废物执行《危险废物贮存污染控制标准》（GB18597-2023）中的有关规定。</w:t>
      </w:r>
    </w:p>
    <w:p w14:paraId="2BBADE68">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16" w:firstLineChars="200"/>
        <w:jc w:val="both"/>
        <w:textAlignment w:val="baseline"/>
        <w:rPr>
          <w:rStyle w:val="10"/>
          <w:rFonts w:ascii="仿宋_GB2312" w:hAnsi="仿宋_GB2312" w:eastAsia="仿宋_GB2312"/>
          <w:b w:val="0"/>
          <w:i w:val="0"/>
          <w:caps w:val="0"/>
          <w:spacing w:val="-6"/>
          <w:w w:val="100"/>
          <w:kern w:val="2"/>
          <w:sz w:val="32"/>
          <w:szCs w:val="32"/>
          <w:lang w:val="en-US" w:eastAsia="zh-CN" w:bidi="ar-SA"/>
        </w:rPr>
      </w:pPr>
      <w:r>
        <w:rPr>
          <w:rStyle w:val="10"/>
          <w:rFonts w:ascii="仿宋_GB2312" w:hAnsi="仿宋_GB2312" w:eastAsia="仿宋_GB2312"/>
          <w:b w:val="0"/>
          <w:i w:val="0"/>
          <w:caps w:val="0"/>
          <w:spacing w:val="-6"/>
          <w:w w:val="100"/>
          <w:kern w:val="2"/>
          <w:sz w:val="32"/>
          <w:szCs w:val="32"/>
          <w:lang w:val="en-US" w:eastAsia="zh-CN" w:bidi="ar-SA"/>
        </w:rPr>
        <w:t>6、加强</w:t>
      </w:r>
      <w:r>
        <w:rPr>
          <w:rStyle w:val="10"/>
          <w:rFonts w:hint="eastAsia" w:ascii="仿宋_GB2312" w:hAnsi="仿宋_GB2312" w:eastAsia="仿宋_GB2312"/>
          <w:b w:val="0"/>
          <w:i w:val="0"/>
          <w:caps w:val="0"/>
          <w:spacing w:val="-6"/>
          <w:w w:val="100"/>
          <w:kern w:val="2"/>
          <w:sz w:val="32"/>
          <w:szCs w:val="32"/>
          <w:lang w:val="en-US" w:eastAsia="zh-CN" w:bidi="ar-SA"/>
        </w:rPr>
        <w:t>厂</w:t>
      </w:r>
      <w:r>
        <w:rPr>
          <w:rStyle w:val="10"/>
          <w:rFonts w:ascii="仿宋_GB2312" w:hAnsi="仿宋_GB2312" w:eastAsia="仿宋_GB2312"/>
          <w:b w:val="0"/>
          <w:i w:val="0"/>
          <w:caps w:val="0"/>
          <w:spacing w:val="-6"/>
          <w:w w:val="100"/>
          <w:kern w:val="2"/>
          <w:sz w:val="32"/>
          <w:szCs w:val="32"/>
          <w:lang w:val="en-US" w:eastAsia="zh-CN" w:bidi="ar-SA"/>
        </w:rPr>
        <w:t>区的绿化美化工作，改善周边生态环境。</w:t>
      </w:r>
    </w:p>
    <w:p w14:paraId="25C878FD">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firstLine="616" w:firstLineChars="200"/>
        <w:jc w:val="both"/>
        <w:textAlignment w:val="baseline"/>
        <w:rPr>
          <w:rStyle w:val="10"/>
          <w:rFonts w:hint="eastAsia" w:ascii="仿宋_GB2312" w:hAnsi="仿宋_GB2312" w:eastAsia="仿宋_GB2312"/>
          <w:b w:val="0"/>
          <w:i w:val="0"/>
          <w:caps w:val="0"/>
          <w:color w:val="auto"/>
          <w:spacing w:val="-6"/>
          <w:w w:val="100"/>
          <w:kern w:val="2"/>
          <w:sz w:val="32"/>
          <w:szCs w:val="32"/>
          <w:lang w:val="en-US" w:eastAsia="zh-CN" w:bidi="ar-SA"/>
        </w:rPr>
      </w:pPr>
      <w:r>
        <w:rPr>
          <w:rStyle w:val="10"/>
          <w:rFonts w:ascii="仿宋_GB2312" w:hAnsi="仿宋_GB2312" w:eastAsia="仿宋_GB2312"/>
          <w:b w:val="0"/>
          <w:i w:val="0"/>
          <w:caps w:val="0"/>
          <w:color w:val="auto"/>
          <w:spacing w:val="-6"/>
          <w:w w:val="100"/>
          <w:kern w:val="2"/>
          <w:sz w:val="32"/>
          <w:szCs w:val="32"/>
          <w:lang w:val="en-US" w:eastAsia="zh-CN" w:bidi="ar-SA"/>
        </w:rPr>
        <w:t>三、该项</w:t>
      </w:r>
      <w:r>
        <w:rPr>
          <w:rStyle w:val="10"/>
          <w:rFonts w:hint="eastAsia" w:ascii="仿宋_GB2312" w:hAnsi="仿宋_GB2312" w:eastAsia="仿宋_GB2312"/>
          <w:b w:val="0"/>
          <w:i w:val="0"/>
          <w:caps w:val="0"/>
          <w:color w:val="auto"/>
          <w:spacing w:val="-6"/>
          <w:w w:val="100"/>
          <w:kern w:val="2"/>
          <w:sz w:val="32"/>
          <w:szCs w:val="32"/>
          <w:lang w:val="en-US" w:eastAsia="zh-CN" w:bidi="ar-SA"/>
        </w:rPr>
        <w:t>目污染物为颗粒物，排放量为2.4114t/a。</w:t>
      </w:r>
    </w:p>
    <w:p w14:paraId="42AD4B59">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firstLine="616" w:firstLineChars="200"/>
        <w:jc w:val="both"/>
        <w:textAlignment w:val="baseline"/>
        <w:rPr>
          <w:rStyle w:val="10"/>
          <w:rFonts w:ascii="仿宋_GB2312" w:hAnsi="仿宋_GB2312" w:eastAsia="仿宋_GB2312"/>
          <w:b w:val="0"/>
          <w:i w:val="0"/>
          <w:caps w:val="0"/>
          <w:spacing w:val="-6"/>
          <w:w w:val="100"/>
          <w:kern w:val="2"/>
          <w:sz w:val="32"/>
          <w:szCs w:val="32"/>
          <w:lang w:val="en-US" w:eastAsia="zh-CN" w:bidi="ar-SA"/>
        </w:rPr>
      </w:pPr>
      <w:r>
        <w:rPr>
          <w:rStyle w:val="10"/>
          <w:rFonts w:ascii="仿宋_GB2312" w:hAnsi="仿宋_GB2312" w:eastAsia="仿宋_GB2312"/>
          <w:b w:val="0"/>
          <w:i w:val="0"/>
          <w:caps w:val="0"/>
          <w:spacing w:val="-6"/>
          <w:w w:val="100"/>
          <w:kern w:val="2"/>
          <w:sz w:val="32"/>
          <w:szCs w:val="32"/>
          <w:lang w:val="en-US" w:eastAsia="zh-CN" w:bidi="ar-SA"/>
        </w:rPr>
        <w:t>四、加强对工程的环境管理和环境风险预测，制定突发环境事故应急预案及环境保护管理相关制度，采取合理有效措施防范环境风险，预防突发环境事件的发生。</w:t>
      </w:r>
    </w:p>
    <w:p w14:paraId="36BC62AF">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firstLine="616" w:firstLineChars="200"/>
        <w:jc w:val="both"/>
        <w:textAlignment w:val="baseline"/>
        <w:rPr>
          <w:rStyle w:val="10"/>
          <w:rFonts w:ascii="仿宋_GB2312" w:hAnsi="仿宋_GB2312" w:eastAsia="仿宋_GB2312"/>
          <w:b w:val="0"/>
          <w:i w:val="0"/>
          <w:caps w:val="0"/>
          <w:spacing w:val="-6"/>
          <w:w w:val="100"/>
          <w:kern w:val="2"/>
          <w:sz w:val="32"/>
          <w:szCs w:val="32"/>
          <w:lang w:val="en-US" w:eastAsia="zh-CN" w:bidi="ar-SA"/>
        </w:rPr>
      </w:pPr>
      <w:r>
        <w:rPr>
          <w:rStyle w:val="10"/>
          <w:rFonts w:ascii="仿宋_GB2312" w:hAnsi="仿宋_GB2312" w:eastAsia="仿宋_GB2312"/>
          <w:b w:val="0"/>
          <w:i w:val="0"/>
          <w:caps w:val="0"/>
          <w:color w:val="292929"/>
          <w:spacing w:val="-6"/>
          <w:w w:val="100"/>
          <w:kern w:val="0"/>
          <w:sz w:val="32"/>
          <w:szCs w:val="32"/>
          <w:lang w:val="en-US" w:eastAsia="zh-CN" w:bidi="ar-SA"/>
        </w:rPr>
        <w:t>五、</w:t>
      </w:r>
      <w:r>
        <w:rPr>
          <w:rStyle w:val="10"/>
          <w:rFonts w:ascii="仿宋_GB2312" w:hAnsi="仿宋_GB2312" w:eastAsia="仿宋_GB2312"/>
          <w:b w:val="0"/>
          <w:i w:val="0"/>
          <w:caps w:val="0"/>
          <w:spacing w:val="-6"/>
          <w:w w:val="100"/>
          <w:kern w:val="2"/>
          <w:sz w:val="32"/>
          <w:szCs w:val="32"/>
          <w:lang w:val="en-US" w:eastAsia="zh-CN" w:bidi="ar-SA"/>
        </w:rPr>
        <w:t>项目建设要严格执行环保“三同时”制度。并按照《报告表》中提出的各项要求,积极落实各项污染防治措施。项目建成后须按规定进行环境保护竣工验收。环境保护措施未落实到位，不得正式投入运营；如项目的性质、规模、地点、采用的防治污染、防止生态破坏措施发生重大变动的，须报经我局重新审批。</w:t>
      </w:r>
    </w:p>
    <w:p w14:paraId="6E89AF3C">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firstLine="616" w:firstLineChars="200"/>
        <w:jc w:val="both"/>
        <w:textAlignment w:val="baseline"/>
        <w:rPr>
          <w:rStyle w:val="10"/>
          <w:rFonts w:ascii="仿宋_GB2312" w:hAnsi="仿宋_GB2312" w:eastAsia="仿宋_GB2312"/>
          <w:b w:val="0"/>
          <w:i w:val="0"/>
          <w:caps w:val="0"/>
          <w:spacing w:val="-6"/>
          <w:w w:val="100"/>
          <w:kern w:val="2"/>
          <w:sz w:val="32"/>
          <w:szCs w:val="32"/>
          <w:lang w:val="en-US" w:eastAsia="zh-CN" w:bidi="ar-SA"/>
        </w:rPr>
      </w:pPr>
      <w:r>
        <w:rPr>
          <w:rStyle w:val="10"/>
          <w:rFonts w:ascii="仿宋_GB2312" w:hAnsi="仿宋_GB2312" w:eastAsia="仿宋_GB2312"/>
          <w:b w:val="0"/>
          <w:i w:val="0"/>
          <w:caps w:val="0"/>
          <w:spacing w:val="-6"/>
          <w:w w:val="100"/>
          <w:kern w:val="2"/>
          <w:sz w:val="32"/>
          <w:szCs w:val="32"/>
          <w:lang w:val="en-US" w:eastAsia="zh-CN" w:bidi="ar-SA"/>
        </w:rPr>
        <w:t>六、大同市灵丘县生态环境保护综合行政执法队负责该项目建设期及运营期日常监督管理工作。</w:t>
      </w:r>
    </w:p>
    <w:p w14:paraId="40FD5492">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firstLine="3696" w:firstLineChars="1200"/>
        <w:jc w:val="both"/>
        <w:textAlignment w:val="baseline"/>
        <w:rPr>
          <w:rStyle w:val="10"/>
          <w:rFonts w:ascii="仿宋_GB2312" w:hAnsi="仿宋_GB2312" w:eastAsia="仿宋_GB2312"/>
          <w:b w:val="0"/>
          <w:i w:val="0"/>
          <w:caps w:val="0"/>
          <w:spacing w:val="-6"/>
          <w:w w:val="100"/>
          <w:kern w:val="2"/>
          <w:sz w:val="32"/>
          <w:szCs w:val="32"/>
          <w:lang w:val="en-US" w:eastAsia="zh-CN" w:bidi="ar-SA"/>
        </w:rPr>
      </w:pPr>
    </w:p>
    <w:p w14:paraId="197631B6">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firstLine="3696" w:firstLineChars="1200"/>
        <w:jc w:val="both"/>
        <w:textAlignment w:val="baseline"/>
        <w:rPr>
          <w:rStyle w:val="10"/>
          <w:rFonts w:ascii="仿宋_GB2312" w:hAnsi="仿宋_GB2312" w:eastAsia="仿宋_GB2312"/>
          <w:b w:val="0"/>
          <w:i w:val="0"/>
          <w:caps w:val="0"/>
          <w:spacing w:val="-6"/>
          <w:w w:val="100"/>
          <w:kern w:val="2"/>
          <w:sz w:val="32"/>
          <w:szCs w:val="32"/>
          <w:lang w:val="en-US" w:eastAsia="zh-CN" w:bidi="ar-SA"/>
        </w:rPr>
      </w:pPr>
      <w:r>
        <w:rPr>
          <w:rStyle w:val="10"/>
          <w:rFonts w:ascii="仿宋_GB2312" w:hAnsi="仿宋_GB2312" w:eastAsia="仿宋_GB2312"/>
          <w:b w:val="0"/>
          <w:i w:val="0"/>
          <w:caps w:val="0"/>
          <w:spacing w:val="-6"/>
          <w:w w:val="100"/>
          <w:kern w:val="2"/>
          <w:sz w:val="32"/>
          <w:szCs w:val="32"/>
          <w:lang w:val="en-US" w:eastAsia="zh-CN" w:bidi="ar-SA"/>
        </w:rPr>
        <w:t>大同市生态环境局灵丘分局</w:t>
      </w:r>
    </w:p>
    <w:p w14:paraId="52FC85B8">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right="0" w:firstLine="4312" w:firstLineChars="1400"/>
        <w:jc w:val="both"/>
        <w:textAlignment w:val="baseline"/>
        <w:rPr>
          <w:rFonts w:hint="eastAsia" w:ascii="仿宋" w:hAnsi="仿宋" w:eastAsia="仿宋" w:cs="仿宋"/>
          <w:color w:val="auto"/>
          <w:spacing w:val="68"/>
          <w:sz w:val="32"/>
          <w:szCs w:val="32"/>
          <w:u w:val="single"/>
          <w:lang w:val="en-US" w:eastAsia="zh-CN"/>
        </w:rPr>
      </w:pPr>
      <w:r>
        <w:rPr>
          <w:rStyle w:val="10"/>
          <w:rFonts w:ascii="仿宋_GB2312" w:hAnsi="仿宋_GB2312" w:eastAsia="仿宋_GB2312"/>
          <w:b w:val="0"/>
          <w:i w:val="0"/>
          <w:caps w:val="0"/>
          <w:spacing w:val="-6"/>
          <w:w w:val="100"/>
          <w:kern w:val="2"/>
          <w:sz w:val="32"/>
          <w:szCs w:val="32"/>
          <w:lang w:val="en-US" w:eastAsia="zh-CN" w:bidi="ar-SA"/>
        </w:rPr>
        <w:t>202</w:t>
      </w:r>
      <w:r>
        <w:rPr>
          <w:rStyle w:val="10"/>
          <w:rFonts w:hint="eastAsia" w:ascii="仿宋_GB2312" w:hAnsi="仿宋_GB2312" w:eastAsia="仿宋_GB2312"/>
          <w:b w:val="0"/>
          <w:i w:val="0"/>
          <w:caps w:val="0"/>
          <w:spacing w:val="-6"/>
          <w:w w:val="100"/>
          <w:kern w:val="2"/>
          <w:sz w:val="32"/>
          <w:szCs w:val="32"/>
          <w:lang w:val="en-US" w:eastAsia="zh-CN" w:bidi="ar-SA"/>
        </w:rPr>
        <w:t>5</w:t>
      </w:r>
      <w:r>
        <w:rPr>
          <w:rStyle w:val="10"/>
          <w:rFonts w:ascii="仿宋_GB2312" w:hAnsi="仿宋_GB2312" w:eastAsia="仿宋_GB2312"/>
          <w:b w:val="0"/>
          <w:i w:val="0"/>
          <w:caps w:val="0"/>
          <w:spacing w:val="-6"/>
          <w:w w:val="100"/>
          <w:kern w:val="2"/>
          <w:sz w:val="32"/>
          <w:szCs w:val="32"/>
          <w:lang w:val="en-US" w:eastAsia="zh-CN" w:bidi="ar-SA"/>
        </w:rPr>
        <w:t>年</w:t>
      </w:r>
      <w:r>
        <w:rPr>
          <w:rStyle w:val="10"/>
          <w:rFonts w:hint="eastAsia" w:ascii="仿宋_GB2312" w:hAnsi="仿宋_GB2312" w:eastAsia="仿宋_GB2312"/>
          <w:b w:val="0"/>
          <w:i w:val="0"/>
          <w:caps w:val="0"/>
          <w:spacing w:val="-6"/>
          <w:w w:val="100"/>
          <w:kern w:val="2"/>
          <w:sz w:val="32"/>
          <w:szCs w:val="32"/>
          <w:lang w:val="en-US" w:eastAsia="zh-CN" w:bidi="ar-SA"/>
        </w:rPr>
        <w:t>1</w:t>
      </w:r>
      <w:r>
        <w:rPr>
          <w:rStyle w:val="10"/>
          <w:rFonts w:ascii="仿宋_GB2312" w:hAnsi="仿宋_GB2312" w:eastAsia="仿宋_GB2312"/>
          <w:b w:val="0"/>
          <w:i w:val="0"/>
          <w:caps w:val="0"/>
          <w:spacing w:val="-6"/>
          <w:w w:val="100"/>
          <w:kern w:val="2"/>
          <w:sz w:val="32"/>
          <w:szCs w:val="32"/>
          <w:lang w:val="en-US" w:eastAsia="zh-CN" w:bidi="ar-SA"/>
        </w:rPr>
        <w:t>月</w:t>
      </w:r>
      <w:r>
        <w:rPr>
          <w:rStyle w:val="10"/>
          <w:rFonts w:hint="eastAsia" w:ascii="仿宋_GB2312" w:hAnsi="仿宋_GB2312" w:eastAsia="仿宋_GB2312"/>
          <w:b w:val="0"/>
          <w:i w:val="0"/>
          <w:caps w:val="0"/>
          <w:spacing w:val="-6"/>
          <w:w w:val="100"/>
          <w:kern w:val="2"/>
          <w:sz w:val="32"/>
          <w:szCs w:val="32"/>
          <w:lang w:val="en-US" w:eastAsia="zh-CN" w:bidi="ar-SA"/>
        </w:rPr>
        <w:t>3</w:t>
      </w:r>
      <w:r>
        <w:rPr>
          <w:rStyle w:val="10"/>
          <w:rFonts w:ascii="仿宋_GB2312" w:hAnsi="仿宋_GB2312" w:eastAsia="仿宋_GB2312"/>
          <w:b w:val="0"/>
          <w:i w:val="0"/>
          <w:caps w:val="0"/>
          <w:spacing w:val="-6"/>
          <w:w w:val="100"/>
          <w:kern w:val="2"/>
          <w:sz w:val="32"/>
          <w:szCs w:val="32"/>
          <w:lang w:val="en-US" w:eastAsia="zh-CN" w:bidi="ar-SA"/>
        </w:rPr>
        <w:t>日</w:t>
      </w:r>
      <w:bookmarkStart w:id="0" w:name="_GoBack"/>
      <w:bookmarkEnd w:id="0"/>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jljZTYxNTUzNmM1NDNmMmQ3ZWM5YmI4ODgxMjIifQ=="/>
  </w:docVars>
  <w:rsids>
    <w:rsidRoot w:val="3B9F3D19"/>
    <w:rsid w:val="0BC63B74"/>
    <w:rsid w:val="0EEC057A"/>
    <w:rsid w:val="0F6A0E1E"/>
    <w:rsid w:val="10892C41"/>
    <w:rsid w:val="1E8A2A3D"/>
    <w:rsid w:val="1ED24E6B"/>
    <w:rsid w:val="1EDD7021"/>
    <w:rsid w:val="25462E46"/>
    <w:rsid w:val="2AB54E7F"/>
    <w:rsid w:val="3B9F3D19"/>
    <w:rsid w:val="3F9B5BB1"/>
    <w:rsid w:val="42074515"/>
    <w:rsid w:val="48D423BE"/>
    <w:rsid w:val="49D10ACC"/>
    <w:rsid w:val="4EC64BEA"/>
    <w:rsid w:val="4F0C50FB"/>
    <w:rsid w:val="5AD216C5"/>
    <w:rsid w:val="61DE04AF"/>
    <w:rsid w:val="689E2EA1"/>
    <w:rsid w:val="6A047FFE"/>
    <w:rsid w:val="71D12885"/>
    <w:rsid w:val="75E361C9"/>
    <w:rsid w:val="7F336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autoRedefine/>
    <w:qFormat/>
    <w:uiPriority w:val="0"/>
  </w:style>
  <w:style w:type="paragraph" w:customStyle="1" w:styleId="7">
    <w:name w:val="正文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
    <w:name w:val="NormalCharacter"/>
    <w:autoRedefine/>
    <w:qFormat/>
    <w:uiPriority w:val="0"/>
    <w:rPr>
      <w:kern w:val="2"/>
      <w:sz w:val="21"/>
      <w:lang w:val="en-US" w:eastAsia="zh-CN" w:bidi="ar-SA"/>
    </w:rPr>
  </w:style>
  <w:style w:type="paragraph" w:customStyle="1" w:styleId="11">
    <w:name w:val="UserStyle_7"/>
    <w:autoRedefine/>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12">
    <w:name w:val="UserStyle_20"/>
    <w:autoRedefine/>
    <w:qFormat/>
    <w:uiPriority w:val="0"/>
    <w:pPr>
      <w:textAlignment w:val="baseline"/>
    </w:pPr>
    <w:rPr>
      <w:rFonts w:ascii="宋体" w:hAnsi="Calibri" w:eastAsia="宋体" w:cs="Times New Roman"/>
      <w:color w:val="000000"/>
      <w:sz w:val="24"/>
      <w:szCs w:val="24"/>
      <w:lang w:val="en-US" w:eastAsia="zh-CN" w:bidi="ar-SA"/>
    </w:rPr>
  </w:style>
  <w:style w:type="paragraph" w:customStyle="1" w:styleId="13">
    <w:name w:val="UserStyle_17"/>
    <w:autoRedefine/>
    <w:qFormat/>
    <w:uiPriority w:val="0"/>
    <w:pPr>
      <w:jc w:val="both"/>
      <w:textAlignment w:val="baseline"/>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1684</Words>
  <Characters>1808</Characters>
  <Lines>0</Lines>
  <Paragraphs>0</Paragraphs>
  <TotalTime>2</TotalTime>
  <ScaleCrop>false</ScaleCrop>
  <LinksUpToDate>false</LinksUpToDate>
  <CharactersWithSpaces>1812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2020-05-25T09:58:00Z</dcterms:created>
  <dc:creator>丽纱</dc:creator>
  <cp:lastModifiedBy>丽纱</cp:lastModifiedBy>
  <dcterms:modified xsi:type="dcterms:W3CDTF">2025-01-06T01:30:20Z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37A6BBA76E41482195666D465E33CC4F</vt:lpwstr>
  </property>
  <property fmtid="{D5CDD505-2E9C-101B-9397-08002B2CF9AE}" pid="4" name="KSOTemplateDocerSaveRecord">
    <vt:lpwstr>eyJoZGlkIjoiZDlmMjljZTYxNTUzNmM1NDNmMmQ3ZWM5YmI4ODgxMjIiLCJ1c2VySWQiOiIzNTkwNDA3MTgifQ==</vt:lpwstr>
  </property>
</Properties>
</file>