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4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68"/>
          <w:sz w:val="52"/>
          <w:szCs w:val="52"/>
          <w:u w:val="single"/>
          <w:lang w:val="en-US" w:eastAsia="zh-CN"/>
        </w:rPr>
      </w:pPr>
      <w:r>
        <w:rPr>
          <w:rFonts w:hint="eastAsia" w:ascii="方正小标宋简体" w:hAnsi="方正小标宋简体" w:eastAsia="方正小标宋简体" w:cs="方正小标宋简体"/>
          <w:color w:val="FF0000"/>
          <w:spacing w:val="68"/>
          <w:sz w:val="52"/>
          <w:szCs w:val="52"/>
          <w:u w:val="single"/>
          <w:lang w:val="en-US" w:eastAsia="zh-CN"/>
        </w:rPr>
        <w:t xml:space="preserve"> </w:t>
      </w:r>
      <w:r>
        <w:rPr>
          <w:rFonts w:hint="eastAsia" w:ascii="方正小标宋简体" w:hAnsi="方正小标宋简体" w:eastAsia="方正小标宋简体" w:cs="方正小标宋简体"/>
          <w:color w:val="FF0000"/>
          <w:spacing w:val="68"/>
          <w:sz w:val="52"/>
          <w:szCs w:val="52"/>
          <w:u w:val="single"/>
          <w:lang w:eastAsia="zh-CN"/>
        </w:rPr>
        <w:t>大同市生态环境局灵丘分局</w:t>
      </w:r>
      <w:r>
        <w:rPr>
          <w:rFonts w:hint="eastAsia" w:ascii="方正小标宋简体" w:hAnsi="方正小标宋简体" w:eastAsia="方正小标宋简体" w:cs="方正小标宋简体"/>
          <w:color w:val="FF0000"/>
          <w:spacing w:val="68"/>
          <w:sz w:val="52"/>
          <w:szCs w:val="52"/>
          <w:u w:val="single"/>
          <w:lang w:val="en-US" w:eastAsia="zh-CN"/>
        </w:rPr>
        <w:t xml:space="preserve"> </w:t>
      </w:r>
    </w:p>
    <w:p w14:paraId="1D3DB826">
      <w:pPr>
        <w:wordWrap w:val="0"/>
        <w:spacing w:line="600" w:lineRule="exact"/>
        <w:jc w:val="right"/>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灵环函〔</w:t>
      </w:r>
      <w:r>
        <w:rPr>
          <w:rFonts w:hint="eastAsia" w:ascii="仿宋" w:hAnsi="仿宋" w:eastAsia="仿宋" w:cs="仿宋"/>
          <w:spacing w:val="-11"/>
          <w:sz w:val="32"/>
          <w:szCs w:val="32"/>
          <w:lang w:val="en-US" w:eastAsia="zh-CN"/>
        </w:rPr>
        <w:t>2024〕16号</w:t>
      </w:r>
    </w:p>
    <w:p w14:paraId="279015E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 w:hAnsi="仿宋" w:eastAsia="仿宋" w:cs="仿宋"/>
          <w:spacing w:val="-11"/>
          <w:sz w:val="21"/>
          <w:szCs w:val="21"/>
          <w:lang w:val="en-US" w:eastAsia="zh-CN"/>
        </w:rPr>
      </w:pPr>
    </w:p>
    <w:p w14:paraId="4A81C17B">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关于</w:t>
      </w:r>
      <w:r>
        <w:rPr>
          <w:rStyle w:val="10"/>
          <w:rFonts w:hint="eastAsia" w:ascii="方正小标宋简体" w:hAnsi="方正小标宋简体" w:eastAsia="方正小标宋简体"/>
          <w:b w:val="0"/>
          <w:i w:val="0"/>
          <w:caps w:val="0"/>
          <w:spacing w:val="-11"/>
          <w:w w:val="100"/>
          <w:kern w:val="2"/>
          <w:sz w:val="44"/>
          <w:szCs w:val="44"/>
          <w:lang w:val="en-US" w:eastAsia="zh-CN" w:bidi="ar-SA"/>
        </w:rPr>
        <w:t>灵丘县殡葬服务中心建设项目</w:t>
      </w:r>
    </w:p>
    <w:p w14:paraId="5CF4C7F4">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环境影响报告表的批复</w:t>
      </w:r>
    </w:p>
    <w:p w14:paraId="50924E47">
      <w:pPr>
        <w:snapToGrid/>
        <w:spacing w:before="0" w:beforeAutospacing="0" w:after="0" w:afterAutospacing="0" w:line="240" w:lineRule="auto"/>
        <w:jc w:val="center"/>
        <w:textAlignment w:val="baseline"/>
        <w:rPr>
          <w:rStyle w:val="10"/>
          <w:rFonts w:ascii="仿宋_GB2312" w:hAnsi="仿宋_GB2312" w:eastAsia="仿宋_GB2312"/>
          <w:b w:val="0"/>
          <w:i w:val="0"/>
          <w:caps w:val="0"/>
          <w:spacing w:val="0"/>
          <w:w w:val="100"/>
          <w:kern w:val="2"/>
          <w:sz w:val="21"/>
          <w:szCs w:val="21"/>
          <w:lang w:val="en-US" w:eastAsia="zh-CN" w:bidi="ar-SA"/>
        </w:rPr>
      </w:pPr>
    </w:p>
    <w:p w14:paraId="4C37DD18">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hint="eastAsia" w:ascii="仿宋_GB2312" w:hAnsi="仿宋" w:eastAsia="仿宋_GB2312"/>
          <w:b w:val="0"/>
          <w:i w:val="0"/>
          <w:caps w:val="0"/>
          <w:spacing w:val="-6"/>
          <w:w w:val="100"/>
          <w:kern w:val="2"/>
          <w:sz w:val="32"/>
          <w:szCs w:val="32"/>
          <w:lang w:val="en-US" w:eastAsia="zh-CN" w:bidi="ar-SA"/>
        </w:rPr>
        <w:t>县民政局</w:t>
      </w:r>
      <w:r>
        <w:rPr>
          <w:rStyle w:val="10"/>
          <w:rFonts w:ascii="仿宋_GB2312" w:hAnsi="仿宋_GB2312" w:eastAsia="仿宋_GB2312"/>
          <w:b w:val="0"/>
          <w:i w:val="0"/>
          <w:caps w:val="0"/>
          <w:spacing w:val="-6"/>
          <w:w w:val="100"/>
          <w:kern w:val="2"/>
          <w:sz w:val="32"/>
          <w:szCs w:val="32"/>
          <w:lang w:val="en-US" w:eastAsia="zh-CN" w:bidi="ar-SA"/>
        </w:rPr>
        <w:t>：</w:t>
      </w:r>
    </w:p>
    <w:p w14:paraId="26145F17">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16" w:firstLineChars="200"/>
        <w:jc w:val="both"/>
        <w:textAlignment w:val="baseline"/>
        <w:rPr>
          <w:rStyle w:val="10"/>
          <w:rFonts w:ascii="仿宋_GB2312" w:hAnsi="仿宋" w:eastAsia="仿宋_GB2312"/>
          <w:b w:val="0"/>
          <w:i w:val="0"/>
          <w:caps w:val="0"/>
          <w:spacing w:val="-6"/>
          <w:w w:val="100"/>
          <w:kern w:val="2"/>
          <w:sz w:val="32"/>
          <w:szCs w:val="32"/>
          <w:lang w:val="en-US" w:eastAsia="zh-CN" w:bidi="ar-SA"/>
        </w:rPr>
      </w:pPr>
      <w:r>
        <w:rPr>
          <w:rStyle w:val="10"/>
          <w:rFonts w:ascii="仿宋_GB2312" w:hAnsi="仿宋" w:eastAsia="仿宋_GB2312"/>
          <w:b w:val="0"/>
          <w:i w:val="0"/>
          <w:caps w:val="0"/>
          <w:spacing w:val="-6"/>
          <w:w w:val="100"/>
          <w:kern w:val="2"/>
          <w:sz w:val="32"/>
          <w:szCs w:val="32"/>
          <w:lang w:val="en-US" w:eastAsia="zh-CN" w:bidi="ar-SA"/>
        </w:rPr>
        <w:t>你</w:t>
      </w:r>
      <w:r>
        <w:rPr>
          <w:rStyle w:val="10"/>
          <w:rFonts w:hint="eastAsia" w:ascii="仿宋_GB2312" w:hAnsi="仿宋" w:eastAsia="仿宋_GB2312"/>
          <w:b w:val="0"/>
          <w:i w:val="0"/>
          <w:caps w:val="0"/>
          <w:spacing w:val="-6"/>
          <w:w w:val="100"/>
          <w:kern w:val="2"/>
          <w:sz w:val="32"/>
          <w:szCs w:val="32"/>
          <w:lang w:val="en-US" w:eastAsia="zh-CN" w:bidi="ar-SA"/>
        </w:rPr>
        <w:t>单位关于</w:t>
      </w:r>
      <w:r>
        <w:rPr>
          <w:rStyle w:val="10"/>
          <w:rFonts w:ascii="仿宋_GB2312" w:hAnsi="仿宋" w:eastAsia="仿宋_GB2312"/>
          <w:b w:val="0"/>
          <w:i w:val="0"/>
          <w:caps w:val="0"/>
          <w:spacing w:val="-6"/>
          <w:w w:val="100"/>
          <w:kern w:val="2"/>
          <w:sz w:val="32"/>
          <w:szCs w:val="32"/>
          <w:lang w:val="en-US" w:eastAsia="zh-CN" w:bidi="ar-SA"/>
        </w:rPr>
        <w:t>《</w:t>
      </w:r>
      <w:r>
        <w:rPr>
          <w:rStyle w:val="10"/>
          <w:rFonts w:hint="eastAsia" w:ascii="仿宋_GB2312" w:hAnsi="仿宋" w:eastAsia="仿宋_GB2312"/>
          <w:b w:val="0"/>
          <w:i w:val="0"/>
          <w:caps w:val="0"/>
          <w:spacing w:val="-6"/>
          <w:w w:val="100"/>
          <w:kern w:val="2"/>
          <w:sz w:val="32"/>
          <w:szCs w:val="32"/>
          <w:lang w:val="en-US" w:eastAsia="zh-CN" w:bidi="ar-SA"/>
        </w:rPr>
        <w:t>灵丘县殡葬服务中心建设项目</w:t>
      </w:r>
      <w:r>
        <w:rPr>
          <w:rStyle w:val="10"/>
          <w:rFonts w:ascii="仿宋_GB2312" w:hAnsi="仿宋" w:eastAsia="仿宋_GB2312"/>
          <w:b w:val="0"/>
          <w:i w:val="0"/>
          <w:caps w:val="0"/>
          <w:spacing w:val="-6"/>
          <w:w w:val="100"/>
          <w:kern w:val="2"/>
          <w:sz w:val="32"/>
          <w:szCs w:val="32"/>
          <w:lang w:val="en-US" w:eastAsia="zh-CN" w:bidi="ar-SA"/>
        </w:rPr>
        <w:t>环境影响报告表》（以下简称《报告表》）相关材料收悉。</w:t>
      </w:r>
      <w:r>
        <w:rPr>
          <w:rStyle w:val="10"/>
          <w:rFonts w:hint="eastAsia" w:ascii="仿宋_GB2312" w:hAnsi="仿宋" w:eastAsia="仿宋_GB2312"/>
          <w:b w:val="0"/>
          <w:i w:val="0"/>
          <w:caps w:val="0"/>
          <w:spacing w:val="-6"/>
          <w:w w:val="100"/>
          <w:kern w:val="2"/>
          <w:sz w:val="32"/>
          <w:szCs w:val="32"/>
          <w:lang w:val="en-US" w:eastAsia="zh-CN" w:bidi="ar-SA"/>
        </w:rPr>
        <w:t>结合大同市生态环境评估中心出具的《关于&lt;灵丘县殡葬服务中心建设项目环境影响报告表&gt;的技术评估报告》，</w:t>
      </w:r>
      <w:r>
        <w:rPr>
          <w:rStyle w:val="10"/>
          <w:rFonts w:ascii="仿宋_GB2312" w:hAnsi="仿宋_GB2312" w:eastAsia="仿宋_GB2312"/>
          <w:b w:val="0"/>
          <w:i w:val="0"/>
          <w:caps w:val="0"/>
          <w:spacing w:val="-6"/>
          <w:w w:val="100"/>
          <w:kern w:val="2"/>
          <w:sz w:val="32"/>
          <w:szCs w:val="32"/>
          <w:lang w:val="en-US" w:eastAsia="zh-CN" w:bidi="ar-SA"/>
        </w:rPr>
        <w:t>经研究，批复如下：</w:t>
      </w:r>
    </w:p>
    <w:p w14:paraId="619E2EB4">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16" w:firstLineChars="200"/>
        <w:jc w:val="both"/>
        <w:textAlignment w:val="baseline"/>
        <w:rPr>
          <w:rStyle w:val="10"/>
          <w:rFonts w:ascii="仿宋_GB2312" w:hAnsi="仿宋_GB2312" w:eastAsia="仿宋_GB2312"/>
          <w:b w:val="0"/>
          <w:i w:val="0"/>
          <w:caps w:val="0"/>
          <w:color w:val="000000"/>
          <w:spacing w:val="-11"/>
          <w:w w:val="100"/>
          <w:sz w:val="32"/>
          <w:szCs w:val="32"/>
          <w:lang w:val="en-US" w:eastAsia="zh-CN" w:bidi="ar-SA"/>
        </w:rPr>
      </w:pPr>
      <w:r>
        <w:rPr>
          <w:rStyle w:val="10"/>
          <w:rFonts w:ascii="仿宋_GB2312" w:hAnsi="仿宋" w:eastAsia="仿宋_GB2312"/>
          <w:b w:val="0"/>
          <w:i w:val="0"/>
          <w:caps w:val="0"/>
          <w:color w:val="000000"/>
          <w:spacing w:val="-6"/>
          <w:w w:val="100"/>
          <w:sz w:val="32"/>
          <w:szCs w:val="32"/>
          <w:lang w:val="en-US" w:eastAsia="zh-CN" w:bidi="ar-SA"/>
        </w:rPr>
        <w:t>一、该项目</w:t>
      </w:r>
      <w:r>
        <w:rPr>
          <w:rStyle w:val="10"/>
          <w:rFonts w:hint="eastAsia" w:ascii="仿宋_GB2312" w:hAnsi="仿宋" w:eastAsia="仿宋_GB2312"/>
          <w:b w:val="0"/>
          <w:i w:val="0"/>
          <w:caps w:val="0"/>
          <w:color w:val="000000"/>
          <w:spacing w:val="-6"/>
          <w:w w:val="100"/>
          <w:sz w:val="32"/>
          <w:szCs w:val="32"/>
          <w:lang w:val="en-US" w:eastAsia="zh-CN" w:bidi="ar-SA"/>
        </w:rPr>
        <w:t>位于山西省大同市灵丘县武灵镇泽水村东1460m处的羊圈沟</w:t>
      </w:r>
      <w:r>
        <w:rPr>
          <w:rStyle w:val="10"/>
          <w:rFonts w:hint="eastAsia" w:ascii="仿宋_GB2312" w:hAnsi="仿宋" w:eastAsia="仿宋_GB2312"/>
          <w:b w:val="0"/>
          <w:i w:val="0"/>
          <w:caps w:val="0"/>
          <w:color w:val="auto"/>
          <w:spacing w:val="-6"/>
          <w:w w:val="100"/>
          <w:sz w:val="32"/>
          <w:szCs w:val="32"/>
          <w:lang w:val="en-US" w:eastAsia="zh-CN" w:bidi="ar-SA"/>
        </w:rPr>
        <w:t>。</w:t>
      </w:r>
      <w:r>
        <w:rPr>
          <w:rStyle w:val="10"/>
          <w:rFonts w:hint="eastAsia" w:ascii="仿宋_GB2312" w:hAnsi="仿宋" w:eastAsia="仿宋_GB2312" w:cs="Times New Roman"/>
          <w:b w:val="0"/>
          <w:i w:val="0"/>
          <w:caps w:val="0"/>
          <w:color w:val="000000"/>
          <w:spacing w:val="-6"/>
          <w:w w:val="100"/>
          <w:sz w:val="32"/>
          <w:szCs w:val="32"/>
          <w:lang w:val="en-US" w:eastAsia="zh-CN" w:bidi="ar-SA"/>
        </w:rPr>
        <w:t>项目总用地面积21981.98m</w:t>
      </w:r>
      <w:r>
        <w:rPr>
          <w:rStyle w:val="10"/>
          <w:rFonts w:hint="eastAsia" w:ascii="仿宋_GB2312" w:hAnsi="仿宋" w:eastAsia="仿宋_GB2312" w:cs="Times New Roman"/>
          <w:b w:val="0"/>
          <w:i w:val="0"/>
          <w:caps w:val="0"/>
          <w:color w:val="000000"/>
          <w:spacing w:val="-6"/>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6"/>
          <w:w w:val="100"/>
          <w:sz w:val="32"/>
          <w:szCs w:val="32"/>
          <w:lang w:val="en-US" w:eastAsia="zh-CN" w:bidi="ar-SA"/>
        </w:rPr>
        <w:t>（约合33亩），总建筑面积4825m</w:t>
      </w:r>
      <w:r>
        <w:rPr>
          <w:rStyle w:val="10"/>
          <w:rFonts w:hint="eastAsia" w:ascii="仿宋_GB2312" w:hAnsi="仿宋" w:eastAsia="仿宋_GB2312" w:cs="Times New Roman"/>
          <w:b w:val="0"/>
          <w:i w:val="0"/>
          <w:caps w:val="0"/>
          <w:color w:val="000000"/>
          <w:spacing w:val="-6"/>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6"/>
          <w:w w:val="100"/>
          <w:sz w:val="32"/>
          <w:szCs w:val="32"/>
          <w:lang w:val="en-US" w:eastAsia="zh-CN" w:bidi="ar-SA"/>
        </w:rPr>
        <w:t>，包括悼念大厅面积2235m</w:t>
      </w:r>
      <w:r>
        <w:rPr>
          <w:rStyle w:val="10"/>
          <w:rFonts w:hint="eastAsia" w:ascii="仿宋_GB2312" w:hAnsi="仿宋" w:eastAsia="仿宋_GB2312" w:cs="Times New Roman"/>
          <w:b w:val="0"/>
          <w:i w:val="0"/>
          <w:caps w:val="0"/>
          <w:color w:val="000000"/>
          <w:spacing w:val="-6"/>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6"/>
          <w:w w:val="100"/>
          <w:sz w:val="32"/>
          <w:szCs w:val="32"/>
          <w:lang w:val="en-US" w:eastAsia="zh-CN" w:bidi="ar-SA"/>
        </w:rPr>
        <w:t>，火化车间面积690m</w:t>
      </w:r>
      <w:r>
        <w:rPr>
          <w:rStyle w:val="10"/>
          <w:rFonts w:hint="eastAsia" w:ascii="仿宋_GB2312" w:hAnsi="仿宋" w:eastAsia="仿宋_GB2312" w:cs="Times New Roman"/>
          <w:b w:val="0"/>
          <w:i w:val="0"/>
          <w:caps w:val="0"/>
          <w:color w:val="000000"/>
          <w:spacing w:val="-6"/>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6"/>
          <w:w w:val="100"/>
          <w:sz w:val="32"/>
          <w:szCs w:val="32"/>
          <w:lang w:val="en-US" w:eastAsia="zh-CN" w:bidi="ar-SA"/>
        </w:rPr>
        <w:t>，遗体处理中心面积845m</w:t>
      </w:r>
      <w:r>
        <w:rPr>
          <w:rStyle w:val="10"/>
          <w:rFonts w:hint="eastAsia" w:ascii="仿宋_GB2312" w:hAnsi="仿宋" w:eastAsia="仿宋_GB2312" w:cs="Times New Roman"/>
          <w:b w:val="0"/>
          <w:i w:val="0"/>
          <w:caps w:val="0"/>
          <w:color w:val="000000"/>
          <w:spacing w:val="-6"/>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6"/>
          <w:w w:val="100"/>
          <w:sz w:val="32"/>
          <w:szCs w:val="32"/>
          <w:lang w:val="en-US" w:eastAsia="zh-CN" w:bidi="ar-SA"/>
        </w:rPr>
        <w:t>，办公楼建筑面积443m</w:t>
      </w:r>
      <w:r>
        <w:rPr>
          <w:rStyle w:val="10"/>
          <w:rFonts w:hint="eastAsia" w:ascii="仿宋_GB2312" w:hAnsi="仿宋" w:eastAsia="仿宋_GB2312" w:cs="Times New Roman"/>
          <w:b w:val="0"/>
          <w:i w:val="0"/>
          <w:caps w:val="0"/>
          <w:color w:val="000000"/>
          <w:spacing w:val="-6"/>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6"/>
          <w:w w:val="100"/>
          <w:sz w:val="32"/>
          <w:szCs w:val="32"/>
          <w:lang w:val="en-US" w:eastAsia="zh-CN" w:bidi="ar-SA"/>
        </w:rPr>
        <w:t>，大门面积50m</w:t>
      </w:r>
      <w:r>
        <w:rPr>
          <w:rStyle w:val="10"/>
          <w:rFonts w:hint="eastAsia" w:ascii="仿宋_GB2312" w:hAnsi="仿宋" w:eastAsia="仿宋_GB2312" w:cs="Times New Roman"/>
          <w:b w:val="0"/>
          <w:i w:val="0"/>
          <w:caps w:val="0"/>
          <w:color w:val="000000"/>
          <w:spacing w:val="-6"/>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6"/>
          <w:w w:val="100"/>
          <w:sz w:val="32"/>
          <w:szCs w:val="32"/>
          <w:lang w:val="en-US" w:eastAsia="zh-CN" w:bidi="ar-SA"/>
        </w:rPr>
        <w:t>，骨灰塔建筑面积562m</w:t>
      </w:r>
      <w:r>
        <w:rPr>
          <w:rStyle w:val="10"/>
          <w:rFonts w:hint="eastAsia" w:ascii="仿宋_GB2312" w:hAnsi="仿宋" w:eastAsia="仿宋_GB2312" w:cs="Times New Roman"/>
          <w:b w:val="0"/>
          <w:i w:val="0"/>
          <w:caps w:val="0"/>
          <w:color w:val="000000"/>
          <w:spacing w:val="-6"/>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6"/>
          <w:w w:val="100"/>
          <w:sz w:val="32"/>
          <w:szCs w:val="32"/>
          <w:lang w:val="en-US" w:eastAsia="zh-CN" w:bidi="ar-SA"/>
        </w:rPr>
        <w:t>，配备环保型遗物祭品焚烧炉1台，火化炉2台，殡仪车2辆及其他配套相关设施。项目拟设置2台燃油火化机，年最大服务能力为火化2830具遗体。</w:t>
      </w:r>
      <w:r>
        <w:rPr>
          <w:rStyle w:val="10"/>
          <w:rFonts w:ascii="仿宋_GB2312" w:hAnsi="仿宋" w:eastAsia="仿宋_GB2312"/>
          <w:b w:val="0"/>
          <w:i w:val="0"/>
          <w:caps w:val="0"/>
          <w:color w:val="auto"/>
          <w:spacing w:val="-6"/>
          <w:w w:val="100"/>
          <w:sz w:val="32"/>
          <w:szCs w:val="32"/>
          <w:lang w:val="en-US" w:eastAsia="zh-CN" w:bidi="ar-SA"/>
        </w:rPr>
        <w:t>项目总投资</w:t>
      </w:r>
      <w:r>
        <w:rPr>
          <w:rStyle w:val="10"/>
          <w:rFonts w:hint="eastAsia" w:ascii="仿宋_GB2312" w:hAnsi="仿宋" w:eastAsia="仿宋_GB2312"/>
          <w:b w:val="0"/>
          <w:i w:val="0"/>
          <w:caps w:val="0"/>
          <w:color w:val="auto"/>
          <w:spacing w:val="-6"/>
          <w:w w:val="100"/>
          <w:sz w:val="32"/>
          <w:szCs w:val="32"/>
          <w:lang w:val="en-US" w:eastAsia="zh-CN" w:bidi="ar-SA"/>
        </w:rPr>
        <w:t>4171.3</w:t>
      </w:r>
      <w:r>
        <w:rPr>
          <w:rStyle w:val="10"/>
          <w:rFonts w:ascii="仿宋_GB2312" w:hAnsi="仿宋" w:eastAsia="仿宋_GB2312"/>
          <w:b w:val="0"/>
          <w:i w:val="0"/>
          <w:caps w:val="0"/>
          <w:color w:val="auto"/>
          <w:spacing w:val="-6"/>
          <w:w w:val="100"/>
          <w:sz w:val="32"/>
          <w:szCs w:val="32"/>
          <w:lang w:val="en-US" w:eastAsia="zh-CN" w:bidi="ar-SA"/>
        </w:rPr>
        <w:t>万元，环保投资</w:t>
      </w:r>
      <w:r>
        <w:rPr>
          <w:rStyle w:val="10"/>
          <w:rFonts w:hint="eastAsia" w:ascii="仿宋_GB2312" w:hAnsi="仿宋" w:eastAsia="仿宋_GB2312"/>
          <w:b w:val="0"/>
          <w:i w:val="0"/>
          <w:caps w:val="0"/>
          <w:color w:val="auto"/>
          <w:spacing w:val="-6"/>
          <w:w w:val="100"/>
          <w:sz w:val="32"/>
          <w:szCs w:val="32"/>
          <w:lang w:val="en-US" w:eastAsia="zh-CN" w:bidi="ar-SA"/>
        </w:rPr>
        <w:t>135</w:t>
      </w:r>
      <w:r>
        <w:rPr>
          <w:rStyle w:val="10"/>
          <w:rFonts w:ascii="仿宋_GB2312" w:hAnsi="仿宋" w:eastAsia="仿宋_GB2312"/>
          <w:b w:val="0"/>
          <w:i w:val="0"/>
          <w:caps w:val="0"/>
          <w:color w:val="auto"/>
          <w:spacing w:val="-6"/>
          <w:w w:val="100"/>
          <w:sz w:val="32"/>
          <w:szCs w:val="32"/>
          <w:lang w:val="en-US" w:eastAsia="zh-CN" w:bidi="ar-SA"/>
        </w:rPr>
        <w:t>万元，占总投资比例的</w:t>
      </w:r>
      <w:r>
        <w:rPr>
          <w:rStyle w:val="10"/>
          <w:rFonts w:hint="eastAsia" w:ascii="仿宋_GB2312" w:hAnsi="仿宋" w:eastAsia="仿宋_GB2312"/>
          <w:b w:val="0"/>
          <w:i w:val="0"/>
          <w:caps w:val="0"/>
          <w:color w:val="auto"/>
          <w:spacing w:val="-6"/>
          <w:w w:val="100"/>
          <w:sz w:val="32"/>
          <w:szCs w:val="32"/>
          <w:lang w:val="en-US" w:eastAsia="zh-CN" w:bidi="ar-SA"/>
        </w:rPr>
        <w:t>3.24%</w:t>
      </w:r>
      <w:r>
        <w:rPr>
          <w:rStyle w:val="10"/>
          <w:rFonts w:ascii="仿宋_GB2312" w:hAnsi="仿宋" w:eastAsia="仿宋_GB2312"/>
          <w:b w:val="0"/>
          <w:i w:val="0"/>
          <w:caps w:val="0"/>
          <w:color w:val="auto"/>
          <w:spacing w:val="-6"/>
          <w:w w:val="100"/>
          <w:sz w:val="32"/>
          <w:szCs w:val="32"/>
          <w:lang w:val="en-US" w:eastAsia="zh-CN" w:bidi="ar-SA"/>
        </w:rPr>
        <w:t>。</w:t>
      </w:r>
      <w:r>
        <w:rPr>
          <w:rStyle w:val="10"/>
          <w:rFonts w:hint="eastAsia" w:ascii="仿宋_GB2312" w:hAnsi="仿宋" w:eastAsia="仿宋_GB2312"/>
          <w:b w:val="0"/>
          <w:i w:val="0"/>
          <w:caps w:val="0"/>
          <w:color w:val="000000"/>
          <w:spacing w:val="-6"/>
          <w:w w:val="100"/>
          <w:sz w:val="32"/>
          <w:szCs w:val="32"/>
          <w:lang w:val="en-US" w:eastAsia="zh-CN" w:bidi="ar-SA"/>
        </w:rPr>
        <w:t>根据国家发展和改革委员会发布实施的《产业结构调整指导目录（2024年本）》，该项目不属于鼓励类、限制类和淘汰类。灵丘县发展和改革局于2024年6月6日对项目可行性研究报告进行了批复（灵发改字【2024】52号）。</w:t>
      </w:r>
      <w:r>
        <w:rPr>
          <w:rStyle w:val="10"/>
          <w:rFonts w:ascii="仿宋_GB2312" w:hAnsi="仿宋" w:eastAsia="仿宋_GB2312"/>
          <w:b w:val="0"/>
          <w:i w:val="0"/>
          <w:caps w:val="0"/>
          <w:color w:val="000000"/>
          <w:spacing w:val="-11"/>
          <w:w w:val="100"/>
          <w:sz w:val="32"/>
          <w:szCs w:val="32"/>
          <w:lang w:val="en-US" w:eastAsia="zh-CN" w:bidi="ar-SA"/>
        </w:rPr>
        <w:t>在全面落实《报告表》提出的污染防治和生态保护措施的前提下，工程建设对环境的不利影响可得到缓解和控制。我</w:t>
      </w:r>
      <w:r>
        <w:rPr>
          <w:rStyle w:val="10"/>
          <w:rFonts w:hint="eastAsia" w:ascii="仿宋_GB2312" w:hAnsi="仿宋" w:eastAsia="仿宋_GB2312"/>
          <w:b w:val="0"/>
          <w:i w:val="0"/>
          <w:caps w:val="0"/>
          <w:color w:val="000000"/>
          <w:spacing w:val="-11"/>
          <w:w w:val="100"/>
          <w:sz w:val="32"/>
          <w:szCs w:val="32"/>
          <w:lang w:val="en-US" w:eastAsia="zh-CN" w:bidi="ar-SA"/>
        </w:rPr>
        <w:t>分</w:t>
      </w:r>
      <w:r>
        <w:rPr>
          <w:rStyle w:val="10"/>
          <w:rFonts w:ascii="仿宋_GB2312" w:hAnsi="仿宋" w:eastAsia="仿宋_GB2312"/>
          <w:b w:val="0"/>
          <w:i w:val="0"/>
          <w:caps w:val="0"/>
          <w:color w:val="000000"/>
          <w:spacing w:val="-11"/>
          <w:w w:val="100"/>
          <w:sz w:val="32"/>
          <w:szCs w:val="32"/>
          <w:lang w:val="en-US" w:eastAsia="zh-CN" w:bidi="ar-SA"/>
        </w:rPr>
        <w:t>局原则同意《报告表》所列建设项目的性质、规模、地点、采用的生产工艺和采取的环境保护措施。</w:t>
      </w:r>
    </w:p>
    <w:p w14:paraId="4ADF1692">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596" w:firstLineChars="200"/>
        <w:jc w:val="both"/>
        <w:textAlignment w:val="baseline"/>
        <w:rPr>
          <w:rStyle w:val="10"/>
          <w:rFonts w:ascii="仿宋_GB2312" w:hAnsi="仿宋_GB2312" w:eastAsia="仿宋_GB2312"/>
          <w:b w:val="0"/>
          <w:i w:val="0"/>
          <w:caps w:val="0"/>
          <w:color w:val="000000"/>
          <w:spacing w:val="-11"/>
          <w:w w:val="100"/>
          <w:kern w:val="2"/>
          <w:sz w:val="32"/>
          <w:szCs w:val="32"/>
          <w:lang w:val="en-US" w:eastAsia="zh-CN" w:bidi="ar-SA"/>
        </w:rPr>
      </w:pPr>
      <w:r>
        <w:rPr>
          <w:rStyle w:val="10"/>
          <w:rFonts w:ascii="仿宋_GB2312" w:hAnsi="仿宋_GB2312" w:eastAsia="仿宋_GB2312"/>
          <w:b w:val="0"/>
          <w:i w:val="0"/>
          <w:caps w:val="0"/>
          <w:spacing w:val="-11"/>
          <w:w w:val="100"/>
          <w:kern w:val="2"/>
          <w:sz w:val="32"/>
          <w:szCs w:val="32"/>
          <w:lang w:val="en-US" w:eastAsia="zh-CN" w:bidi="ar-SA"/>
        </w:rPr>
        <w:t>二、</w:t>
      </w:r>
      <w:r>
        <w:rPr>
          <w:rStyle w:val="10"/>
          <w:rFonts w:ascii="仿宋_GB2312" w:hAnsi="仿宋_GB2312" w:eastAsia="仿宋_GB2312"/>
          <w:b w:val="0"/>
          <w:i w:val="0"/>
          <w:caps w:val="0"/>
          <w:color w:val="000000"/>
          <w:spacing w:val="-11"/>
          <w:w w:val="100"/>
          <w:kern w:val="2"/>
          <w:sz w:val="32"/>
          <w:szCs w:val="32"/>
          <w:lang w:val="en-US" w:eastAsia="zh-CN" w:bidi="ar-SA"/>
        </w:rPr>
        <w:t>在项目建设和运行管理中，必须对照《报告表》逐一落实各项环保对策措施，重点做好以下工作：</w:t>
      </w:r>
    </w:p>
    <w:p w14:paraId="347D6A06">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596" w:firstLineChars="200"/>
        <w:jc w:val="both"/>
        <w:textAlignment w:val="baseline"/>
        <w:rPr>
          <w:rStyle w:val="10"/>
          <w:rFonts w:ascii="仿宋_GB2312" w:hAnsi="仿宋_GB2312" w:eastAsia="仿宋_GB2312"/>
          <w:b w:val="0"/>
          <w:i w:val="0"/>
          <w:caps w:val="0"/>
          <w:color w:val="000000"/>
          <w:spacing w:val="-11"/>
          <w:w w:val="100"/>
          <w:kern w:val="2"/>
          <w:sz w:val="32"/>
          <w:szCs w:val="32"/>
          <w:lang w:val="en-US" w:eastAsia="zh-CN" w:bidi="ar-SA"/>
        </w:rPr>
      </w:pPr>
      <w:r>
        <w:rPr>
          <w:rStyle w:val="10"/>
          <w:rFonts w:ascii="仿宋_GB2312" w:hAnsi="仿宋_GB2312" w:eastAsia="仿宋_GB2312"/>
          <w:b w:val="0"/>
          <w:i w:val="0"/>
          <w:caps w:val="0"/>
          <w:color w:val="000000"/>
          <w:spacing w:val="-11"/>
          <w:w w:val="100"/>
          <w:kern w:val="2"/>
          <w:sz w:val="32"/>
          <w:szCs w:val="32"/>
          <w:lang w:val="en-US" w:eastAsia="zh-CN" w:bidi="ar-SA"/>
        </w:rPr>
        <w:t>1、认真做好施工期环境保护工作，</w:t>
      </w:r>
      <w:r>
        <w:rPr>
          <w:rStyle w:val="10"/>
          <w:rFonts w:hint="eastAsia" w:ascii="仿宋_GB2312" w:hAnsi="仿宋_GB2312" w:eastAsia="仿宋_GB2312"/>
          <w:b w:val="0"/>
          <w:i w:val="0"/>
          <w:caps w:val="0"/>
          <w:color w:val="000000"/>
          <w:spacing w:val="-11"/>
          <w:w w:val="100"/>
          <w:kern w:val="2"/>
          <w:sz w:val="32"/>
          <w:szCs w:val="32"/>
          <w:lang w:val="en-US" w:eastAsia="zh-CN" w:bidi="ar-SA"/>
        </w:rPr>
        <w:t>施工过程严格落实“六个百分之百”，</w:t>
      </w:r>
      <w:r>
        <w:rPr>
          <w:rStyle w:val="10"/>
          <w:rFonts w:ascii="仿宋_GB2312" w:hAnsi="仿宋_GB2312" w:eastAsia="仿宋_GB2312"/>
          <w:b w:val="0"/>
          <w:i w:val="0"/>
          <w:caps w:val="0"/>
          <w:color w:val="000000"/>
          <w:spacing w:val="-11"/>
          <w:w w:val="100"/>
          <w:kern w:val="2"/>
          <w:sz w:val="32"/>
          <w:szCs w:val="32"/>
          <w:lang w:val="en-US" w:eastAsia="zh-CN" w:bidi="ar-SA"/>
        </w:rPr>
        <w:t>加强</w:t>
      </w:r>
      <w:r>
        <w:rPr>
          <w:rStyle w:val="10"/>
          <w:rFonts w:hint="eastAsia" w:ascii="仿宋_GB2312" w:hAnsi="仿宋_GB2312" w:eastAsia="仿宋_GB2312"/>
          <w:b w:val="0"/>
          <w:i w:val="0"/>
          <w:caps w:val="0"/>
          <w:color w:val="000000"/>
          <w:spacing w:val="-11"/>
          <w:w w:val="100"/>
          <w:kern w:val="2"/>
          <w:sz w:val="32"/>
          <w:szCs w:val="32"/>
          <w:lang w:val="en-US" w:eastAsia="zh-CN" w:bidi="ar-SA"/>
        </w:rPr>
        <w:t>废水、噪声、固体废物</w:t>
      </w:r>
      <w:r>
        <w:rPr>
          <w:rStyle w:val="10"/>
          <w:rFonts w:ascii="仿宋_GB2312" w:hAnsi="仿宋_GB2312" w:eastAsia="仿宋_GB2312"/>
          <w:b w:val="0"/>
          <w:i w:val="0"/>
          <w:caps w:val="0"/>
          <w:color w:val="000000"/>
          <w:spacing w:val="-11"/>
          <w:w w:val="100"/>
          <w:kern w:val="2"/>
          <w:sz w:val="32"/>
          <w:szCs w:val="32"/>
          <w:lang w:val="en-US" w:eastAsia="zh-CN" w:bidi="ar-SA"/>
        </w:rPr>
        <w:t>环境管理，落实《报告表》提出的各项污染防治及生态保护措施，降低对周边的影响。</w:t>
      </w:r>
    </w:p>
    <w:p w14:paraId="55A7113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96" w:firstLineChars="200"/>
        <w:jc w:val="both"/>
        <w:textAlignment w:val="baseline"/>
        <w:rPr>
          <w:rStyle w:val="10"/>
          <w:rFonts w:ascii="仿宋_GB2312" w:hAnsi="仿宋_GB2312" w:eastAsia="仿宋_GB2312"/>
          <w:b w:val="0"/>
          <w:i w:val="0"/>
          <w:caps w:val="0"/>
          <w:color w:val="0000FF"/>
          <w:spacing w:val="-11"/>
          <w:w w:val="100"/>
          <w:kern w:val="2"/>
          <w:sz w:val="32"/>
          <w:szCs w:val="32"/>
          <w:lang w:val="en-US" w:eastAsia="zh-CN" w:bidi="ar-SA"/>
        </w:rPr>
      </w:pPr>
      <w:r>
        <w:rPr>
          <w:rStyle w:val="10"/>
          <w:rFonts w:ascii="仿宋_GB2312" w:hAnsi="仿宋_GB2312" w:eastAsia="仿宋_GB2312"/>
          <w:b w:val="0"/>
          <w:i w:val="0"/>
          <w:caps w:val="0"/>
          <w:color w:val="000000"/>
          <w:spacing w:val="-11"/>
          <w:w w:val="100"/>
          <w:kern w:val="2"/>
          <w:sz w:val="32"/>
          <w:szCs w:val="32"/>
          <w:lang w:val="en-US" w:eastAsia="zh-CN" w:bidi="ar-SA"/>
        </w:rPr>
        <w:t>2、废气污染防治措施。运营期</w:t>
      </w:r>
      <w:r>
        <w:rPr>
          <w:rStyle w:val="10"/>
          <w:rFonts w:hint="eastAsia" w:ascii="仿宋_GB2312" w:hAnsi="仿宋_GB2312" w:eastAsia="仿宋_GB2312"/>
          <w:b w:val="0"/>
          <w:i w:val="0"/>
          <w:caps w:val="0"/>
          <w:color w:val="000000"/>
          <w:spacing w:val="-11"/>
          <w:w w:val="100"/>
          <w:kern w:val="2"/>
          <w:sz w:val="32"/>
          <w:szCs w:val="32"/>
          <w:lang w:val="en-US" w:eastAsia="zh-CN" w:bidi="ar-SA"/>
        </w:rPr>
        <w:t>2台节能环保火化炉分别单独配置一套废气处理设施+1根15m高排气筒，烟气处理设施采用“急冷装置+半干法脱硫+活性炭喷射+布袋除尘器+活性炭吸附”组合方案；遗物祭品焚烧炉单独配置1套废气处理设施+1根15m高排气筒，尾气处理设施采取“急冷装置+半干法脱硫+活性炭喷射+布袋除尘器+活性炭吸附”组合方案。餐厅油烟在食堂灶台上方设置油烟集气罩，废气经过专用烟道经屋顶油烟净化装置处理后排空；备用发电机，正常运营情况下基本不会启用，产生的少量发电机烟气经自带烟气净化装置处理后经专用排烟风井引至屋顶排放。污水处理站及生活垃圾产生的恶臭，采用地埋式一体化污水处理设备为全过程封闭式的污水处理工艺，有效抑制了污水恶臭向外环境的散发，恶臭逸出量少。运营期遗体火化的废气排放执行《火葬场大气污染物排放标准》（GB13801-2015）中表2新建单位遗体火化大气污染物排放限值；遗物、祭品焚烧废气排放执行《火葬场大气污染物排放标准》（GB13801-2015）中表3遗物祭品焚烧大气污染物排放限值。遗体火化过程中可能会排放异味，厂界恶臭执行《恶臭污染物排放标准》（GB14554-93）中表1标准限值恶臭污染物厂界标准值；餐厅厨房油烟废气执行GB18483－2001《饮食业油烟排放标准(试行)》小型类标准。</w:t>
      </w:r>
    </w:p>
    <w:p w14:paraId="064B51F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96" w:firstLineChars="200"/>
        <w:jc w:val="both"/>
        <w:textAlignment w:val="baseline"/>
        <w:rPr>
          <w:rStyle w:val="10"/>
          <w:rFonts w:ascii="仿宋_GB2312" w:hAnsi="仿宋_GB2312" w:eastAsia="仿宋_GB2312"/>
          <w:b w:val="0"/>
          <w:i w:val="0"/>
          <w:caps w:val="0"/>
          <w:color w:val="000000"/>
          <w:spacing w:val="-11"/>
          <w:w w:val="100"/>
          <w:kern w:val="2"/>
          <w:sz w:val="32"/>
          <w:szCs w:val="32"/>
          <w:lang w:val="en-US" w:eastAsia="zh-CN" w:bidi="ar-SA"/>
        </w:rPr>
      </w:pPr>
      <w:r>
        <w:rPr>
          <w:rStyle w:val="10"/>
          <w:rFonts w:ascii="仿宋_GB2312" w:hAnsi="仿宋_GB2312" w:eastAsia="仿宋_GB2312"/>
          <w:b w:val="0"/>
          <w:i w:val="0"/>
          <w:caps w:val="0"/>
          <w:color w:val="000000"/>
          <w:spacing w:val="-11"/>
          <w:w w:val="100"/>
          <w:kern w:val="2"/>
          <w:sz w:val="32"/>
          <w:szCs w:val="32"/>
          <w:lang w:val="en-US" w:eastAsia="zh-CN" w:bidi="ar-SA"/>
        </w:rPr>
        <w:t>3、废水污染防治措施。</w:t>
      </w:r>
      <w:r>
        <w:rPr>
          <w:rStyle w:val="10"/>
          <w:rFonts w:hint="eastAsia" w:ascii="仿宋_GB2312" w:hAnsi="仿宋_GB2312" w:eastAsia="仿宋_GB2312"/>
          <w:b w:val="0"/>
          <w:i w:val="0"/>
          <w:caps w:val="0"/>
          <w:color w:val="000000"/>
          <w:spacing w:val="-11"/>
          <w:w w:val="100"/>
          <w:kern w:val="2"/>
          <w:sz w:val="32"/>
          <w:szCs w:val="32"/>
          <w:lang w:val="en-US" w:eastAsia="zh-CN" w:bidi="ar-SA"/>
        </w:rPr>
        <w:t>运营期遗体处置清洗、消毒废水、专用殡仪车辆清洗、消毒废水及来访人员及工作人员生活污水，经消毒池预处理后与其他生活污水一同进入自建污水处理站处理；非采暖期可用于道路浇洒及绿化浇灌，采暖期定期统一抽送至灵丘县生活污水处理厂。项目污水处理站出水参照执行《城市污水再生利用—城市杂用水水质》（GB/T18920-2020）中城市绿化用水水质标准。</w:t>
      </w:r>
    </w:p>
    <w:p w14:paraId="5BACF2F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jc w:val="both"/>
        <w:textAlignment w:val="baseline"/>
        <w:rPr>
          <w:rStyle w:val="10"/>
          <w:rFonts w:ascii="仿宋_GB2312" w:hAnsi="仿宋_GB2312" w:eastAsia="仿宋_GB2312"/>
          <w:b w:val="0"/>
          <w:i w:val="0"/>
          <w:caps w:val="0"/>
          <w:color w:val="000000"/>
          <w:spacing w:val="-11"/>
          <w:w w:val="100"/>
          <w:kern w:val="2"/>
          <w:sz w:val="32"/>
          <w:szCs w:val="32"/>
          <w:lang w:val="en-US" w:eastAsia="zh-CN" w:bidi="ar-SA"/>
        </w:rPr>
      </w:pPr>
      <w:r>
        <w:rPr>
          <w:rStyle w:val="10"/>
          <w:rFonts w:ascii="仿宋_GB2312" w:hAnsi="仿宋_GB2312" w:eastAsia="仿宋_GB2312"/>
          <w:b w:val="0"/>
          <w:i w:val="0"/>
          <w:caps w:val="0"/>
          <w:color w:val="000000"/>
          <w:spacing w:val="-11"/>
          <w:w w:val="100"/>
          <w:kern w:val="2"/>
          <w:sz w:val="32"/>
          <w:szCs w:val="32"/>
          <w:lang w:val="en-US" w:eastAsia="zh-CN" w:bidi="ar-SA"/>
        </w:rPr>
        <w:t>4、噪声污染防治措施。</w:t>
      </w:r>
      <w:r>
        <w:rPr>
          <w:rStyle w:val="10"/>
          <w:rFonts w:hint="eastAsia" w:ascii="仿宋_GB2312" w:hAnsi="仿宋_GB2312" w:eastAsia="仿宋_GB2312"/>
          <w:b w:val="0"/>
          <w:i w:val="0"/>
          <w:caps w:val="0"/>
          <w:color w:val="000000"/>
          <w:spacing w:val="-11"/>
          <w:w w:val="100"/>
          <w:kern w:val="2"/>
          <w:sz w:val="32"/>
          <w:szCs w:val="32"/>
          <w:lang w:val="en-US" w:eastAsia="zh-CN" w:bidi="ar-SA"/>
        </w:rPr>
        <w:t>运营期设备噪声，要选用低噪声设备，隔声、基础减振，定期维护，加强管理等措施减少对周围环境的噪声污染。项目运营期执行《工业企业厂界环境噪声排放标准》（GB12348-2008）1类标准。</w:t>
      </w:r>
    </w:p>
    <w:p w14:paraId="7B92600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jc w:val="both"/>
        <w:textAlignment w:val="baseline"/>
        <w:rPr>
          <w:rStyle w:val="10"/>
          <w:rFonts w:ascii="仿宋_GB2312" w:hAnsi="仿宋_GB2312" w:eastAsia="仿宋_GB2312"/>
          <w:b w:val="0"/>
          <w:i w:val="0"/>
          <w:caps w:val="0"/>
          <w:color w:val="auto"/>
          <w:spacing w:val="-11"/>
          <w:w w:val="100"/>
          <w:kern w:val="2"/>
          <w:sz w:val="32"/>
          <w:szCs w:val="32"/>
          <w:lang w:val="en-US" w:eastAsia="zh-CN" w:bidi="ar-SA"/>
        </w:rPr>
      </w:pPr>
      <w:r>
        <w:rPr>
          <w:rStyle w:val="10"/>
          <w:rFonts w:ascii="仿宋_GB2312" w:hAnsi="仿宋_GB2312" w:eastAsia="仿宋_GB2312"/>
          <w:b w:val="0"/>
          <w:i w:val="0"/>
          <w:caps w:val="0"/>
          <w:color w:val="000000"/>
          <w:spacing w:val="-11"/>
          <w:w w:val="100"/>
          <w:kern w:val="2"/>
          <w:sz w:val="32"/>
          <w:szCs w:val="32"/>
          <w:lang w:val="en-US" w:eastAsia="zh-CN" w:bidi="ar-SA"/>
        </w:rPr>
        <w:t>5、固体废物污染防治措施。运营期</w:t>
      </w:r>
      <w:r>
        <w:rPr>
          <w:rStyle w:val="10"/>
          <w:rFonts w:hint="eastAsia" w:ascii="仿宋_GB2312" w:hAnsi="仿宋_GB2312" w:eastAsia="仿宋_GB2312"/>
          <w:b w:val="0"/>
          <w:i w:val="0"/>
          <w:caps w:val="0"/>
          <w:color w:val="000000"/>
          <w:spacing w:val="-11"/>
          <w:w w:val="100"/>
          <w:kern w:val="2"/>
          <w:sz w:val="32"/>
          <w:szCs w:val="32"/>
          <w:lang w:val="en-US" w:eastAsia="zh-CN" w:bidi="ar-SA"/>
        </w:rPr>
        <w:t>厂区内设置垃圾筒，垃圾经收集后运至环卫部门指定的地点统一处理。遗体火化产生的骨灰在进行挑捡后由各逝者家属装进骨灰盒带走，葬入墓地或寄存于骨灰寄存楼。火化炉遗留的灰渣、遗物祭品焚烧灰渣、采用消石灰干化后与生活污水处理站污泥同生活垃圾一起运至环卫部门指定的地点统一处理；项目捕集灰、废脱硫粉、废活性炭贮存于特定容器中，临时贮存于危废贮存点，委托有相关处理资质的单位定期处置。捕集灰要严格按照《殡仪馆捕集灰处理技术要求（MZ/T229-2024）》中对捕集灰的收集、内部转运、贮存、运输过程进行管理。同时危险废物要严格按照《危险废物贮存污染控制标准》（GB18597-2023）中规定对危险废物贮存和管理。</w:t>
      </w:r>
    </w:p>
    <w:p w14:paraId="7360E85B">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96" w:firstLineChars="200"/>
        <w:jc w:val="both"/>
        <w:textAlignment w:val="baseline"/>
        <w:rPr>
          <w:rStyle w:val="10"/>
          <w:rFonts w:ascii="仿宋_GB2312" w:hAnsi="仿宋_GB2312" w:eastAsia="仿宋_GB2312"/>
          <w:b w:val="0"/>
          <w:i w:val="0"/>
          <w:caps w:val="0"/>
          <w:spacing w:val="-11"/>
          <w:w w:val="100"/>
          <w:kern w:val="2"/>
          <w:sz w:val="32"/>
          <w:szCs w:val="32"/>
          <w:lang w:val="en-US" w:eastAsia="zh-CN" w:bidi="ar-SA"/>
        </w:rPr>
      </w:pPr>
      <w:r>
        <w:rPr>
          <w:rStyle w:val="10"/>
          <w:rFonts w:ascii="仿宋_GB2312" w:hAnsi="仿宋_GB2312" w:eastAsia="仿宋_GB2312"/>
          <w:b w:val="0"/>
          <w:i w:val="0"/>
          <w:caps w:val="0"/>
          <w:spacing w:val="-11"/>
          <w:w w:val="100"/>
          <w:kern w:val="2"/>
          <w:sz w:val="32"/>
          <w:szCs w:val="32"/>
          <w:lang w:val="en-US" w:eastAsia="zh-CN" w:bidi="ar-SA"/>
        </w:rPr>
        <w:t>6、加强</w:t>
      </w:r>
      <w:r>
        <w:rPr>
          <w:rStyle w:val="10"/>
          <w:rFonts w:hint="eastAsia" w:ascii="仿宋_GB2312" w:hAnsi="仿宋_GB2312" w:eastAsia="仿宋_GB2312"/>
          <w:b w:val="0"/>
          <w:i w:val="0"/>
          <w:caps w:val="0"/>
          <w:spacing w:val="-11"/>
          <w:w w:val="100"/>
          <w:kern w:val="2"/>
          <w:sz w:val="32"/>
          <w:szCs w:val="32"/>
          <w:lang w:val="en-US" w:eastAsia="zh-CN" w:bidi="ar-SA"/>
        </w:rPr>
        <w:t>厂区</w:t>
      </w:r>
      <w:r>
        <w:rPr>
          <w:rStyle w:val="10"/>
          <w:rFonts w:ascii="仿宋_GB2312" w:hAnsi="仿宋_GB2312" w:eastAsia="仿宋_GB2312"/>
          <w:b w:val="0"/>
          <w:i w:val="0"/>
          <w:caps w:val="0"/>
          <w:spacing w:val="-11"/>
          <w:w w:val="100"/>
          <w:kern w:val="2"/>
          <w:sz w:val="32"/>
          <w:szCs w:val="32"/>
          <w:lang w:val="en-US" w:eastAsia="zh-CN" w:bidi="ar-SA"/>
        </w:rPr>
        <w:t>绿化美化工作，改善周边生态环境。</w:t>
      </w:r>
    </w:p>
    <w:p w14:paraId="0020972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596" w:firstLineChars="200"/>
        <w:jc w:val="both"/>
        <w:textAlignment w:val="baseline"/>
        <w:rPr>
          <w:rStyle w:val="10"/>
          <w:rFonts w:hint="eastAsia" w:ascii="仿宋_GB2312" w:hAnsi="仿宋_GB2312" w:eastAsia="仿宋_GB2312"/>
          <w:b w:val="0"/>
          <w:i w:val="0"/>
          <w:caps w:val="0"/>
          <w:color w:val="auto"/>
          <w:spacing w:val="-11"/>
          <w:w w:val="100"/>
          <w:kern w:val="2"/>
          <w:sz w:val="32"/>
          <w:szCs w:val="32"/>
          <w:lang w:val="en-US" w:eastAsia="zh-CN" w:bidi="ar-SA"/>
        </w:rPr>
      </w:pPr>
      <w:r>
        <w:rPr>
          <w:rStyle w:val="10"/>
          <w:rFonts w:ascii="仿宋_GB2312" w:hAnsi="仿宋_GB2312" w:eastAsia="仿宋_GB2312"/>
          <w:b w:val="0"/>
          <w:i w:val="0"/>
          <w:caps w:val="0"/>
          <w:color w:val="auto"/>
          <w:spacing w:val="-11"/>
          <w:w w:val="100"/>
          <w:kern w:val="2"/>
          <w:sz w:val="32"/>
          <w:szCs w:val="32"/>
          <w:lang w:val="en-US" w:eastAsia="zh-CN" w:bidi="ar-SA"/>
        </w:rPr>
        <w:t>三、该项</w:t>
      </w:r>
      <w:r>
        <w:rPr>
          <w:rStyle w:val="10"/>
          <w:rFonts w:hint="eastAsia" w:ascii="仿宋_GB2312" w:hAnsi="仿宋_GB2312" w:eastAsia="仿宋_GB2312"/>
          <w:b w:val="0"/>
          <w:i w:val="0"/>
          <w:caps w:val="0"/>
          <w:color w:val="auto"/>
          <w:spacing w:val="-11"/>
          <w:w w:val="100"/>
          <w:kern w:val="2"/>
          <w:sz w:val="32"/>
          <w:szCs w:val="32"/>
          <w:lang w:val="en-US" w:eastAsia="zh-CN" w:bidi="ar-SA"/>
        </w:rPr>
        <w:t>目污染物排放量为颗粒物排放量为0.641t/a，二氧化硫排放量为0.072t/a，氮氧化物排放量为2.519t/a，化学需氧量0.013t/a，氨氮0.017t/a。</w:t>
      </w:r>
    </w:p>
    <w:p w14:paraId="6838A69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596" w:firstLineChars="200"/>
        <w:jc w:val="both"/>
        <w:textAlignment w:val="baseline"/>
        <w:rPr>
          <w:rStyle w:val="10"/>
          <w:rFonts w:ascii="仿宋_GB2312" w:hAnsi="仿宋_GB2312" w:eastAsia="仿宋_GB2312"/>
          <w:b w:val="0"/>
          <w:i w:val="0"/>
          <w:caps w:val="0"/>
          <w:spacing w:val="-11"/>
          <w:w w:val="100"/>
          <w:kern w:val="2"/>
          <w:sz w:val="32"/>
          <w:szCs w:val="32"/>
          <w:lang w:val="en-US" w:eastAsia="zh-CN" w:bidi="ar-SA"/>
        </w:rPr>
      </w:pPr>
      <w:r>
        <w:rPr>
          <w:rStyle w:val="10"/>
          <w:rFonts w:ascii="仿宋_GB2312" w:hAnsi="仿宋_GB2312" w:eastAsia="仿宋_GB2312"/>
          <w:b w:val="0"/>
          <w:i w:val="0"/>
          <w:caps w:val="0"/>
          <w:spacing w:val="-11"/>
          <w:w w:val="100"/>
          <w:kern w:val="2"/>
          <w:sz w:val="32"/>
          <w:szCs w:val="32"/>
          <w:lang w:val="en-US" w:eastAsia="zh-CN" w:bidi="ar-SA"/>
        </w:rPr>
        <w:t>四、加强对工程的环境管理和环境风险预测，制定突发环境事故应急预案及环境保护管理相关制度，采取合理有效措施防范环境风险，预防突发环境事件的发生。</w:t>
      </w:r>
    </w:p>
    <w:p w14:paraId="0C3AF31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596" w:firstLineChars="200"/>
        <w:jc w:val="both"/>
        <w:textAlignment w:val="baseline"/>
        <w:rPr>
          <w:rStyle w:val="10"/>
          <w:rFonts w:ascii="仿宋_GB2312" w:hAnsi="仿宋_GB2312" w:eastAsia="仿宋_GB2312"/>
          <w:b w:val="0"/>
          <w:i w:val="0"/>
          <w:caps w:val="0"/>
          <w:spacing w:val="-11"/>
          <w:w w:val="100"/>
          <w:kern w:val="2"/>
          <w:sz w:val="32"/>
          <w:szCs w:val="32"/>
          <w:lang w:val="en-US" w:eastAsia="zh-CN" w:bidi="ar-SA"/>
        </w:rPr>
      </w:pPr>
      <w:r>
        <w:rPr>
          <w:rStyle w:val="10"/>
          <w:rFonts w:ascii="仿宋_GB2312" w:hAnsi="仿宋_GB2312" w:eastAsia="仿宋_GB2312"/>
          <w:b w:val="0"/>
          <w:i w:val="0"/>
          <w:caps w:val="0"/>
          <w:color w:val="292929"/>
          <w:spacing w:val="-11"/>
          <w:w w:val="100"/>
          <w:kern w:val="0"/>
          <w:sz w:val="32"/>
          <w:szCs w:val="32"/>
          <w:lang w:val="en-US" w:eastAsia="zh-CN" w:bidi="ar-SA"/>
        </w:rPr>
        <w:t>五、</w:t>
      </w:r>
      <w:r>
        <w:rPr>
          <w:rStyle w:val="10"/>
          <w:rFonts w:ascii="仿宋_GB2312" w:hAnsi="仿宋_GB2312" w:eastAsia="仿宋_GB2312"/>
          <w:b w:val="0"/>
          <w:i w:val="0"/>
          <w:caps w:val="0"/>
          <w:spacing w:val="-11"/>
          <w:w w:val="100"/>
          <w:kern w:val="2"/>
          <w:sz w:val="32"/>
          <w:szCs w:val="32"/>
          <w:lang w:val="en-US" w:eastAsia="zh-CN" w:bidi="ar-SA"/>
        </w:rPr>
        <w:t>项目建设要严格执行环保“三同时”制度。并按照《报告表》中提出的各项要求,积极落实各项污染防治措施。项目建成后须按规定进行环境保护竣工验收。环境保护措施未落实到位，不得正式投入运营；如项目的性质、规模、地点、采用的防</w:t>
      </w:r>
      <w:r>
        <w:rPr>
          <w:rStyle w:val="10"/>
          <w:rFonts w:ascii="仿宋_GB2312" w:hAnsi="仿宋_GB2312" w:eastAsia="仿宋_GB2312"/>
          <w:b w:val="0"/>
          <w:i w:val="0"/>
          <w:caps w:val="0"/>
          <w:spacing w:val="-6"/>
          <w:w w:val="100"/>
          <w:kern w:val="2"/>
          <w:sz w:val="32"/>
          <w:szCs w:val="32"/>
          <w:lang w:val="en-US" w:eastAsia="zh-CN" w:bidi="ar-SA"/>
        </w:rPr>
        <w:t>治污染、防止生态破坏措施发生重大变动的，须报经我局重新审批。</w:t>
      </w:r>
    </w:p>
    <w:p w14:paraId="01AD42F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596" w:firstLineChars="200"/>
        <w:jc w:val="both"/>
        <w:textAlignment w:val="baseline"/>
        <w:rPr>
          <w:rStyle w:val="10"/>
          <w:rFonts w:ascii="仿宋_GB2312" w:hAnsi="仿宋_GB2312" w:eastAsia="仿宋_GB2312"/>
          <w:b w:val="0"/>
          <w:i w:val="0"/>
          <w:caps w:val="0"/>
          <w:spacing w:val="-11"/>
          <w:w w:val="100"/>
          <w:kern w:val="2"/>
          <w:sz w:val="32"/>
          <w:szCs w:val="32"/>
          <w:lang w:val="en-US" w:eastAsia="zh-CN" w:bidi="ar-SA"/>
        </w:rPr>
      </w:pPr>
      <w:r>
        <w:rPr>
          <w:rStyle w:val="10"/>
          <w:rFonts w:ascii="仿宋_GB2312" w:hAnsi="仿宋_GB2312" w:eastAsia="仿宋_GB2312"/>
          <w:b w:val="0"/>
          <w:i w:val="0"/>
          <w:caps w:val="0"/>
          <w:spacing w:val="-11"/>
          <w:w w:val="100"/>
          <w:kern w:val="2"/>
          <w:sz w:val="32"/>
          <w:szCs w:val="32"/>
          <w:lang w:val="en-US" w:eastAsia="zh-CN" w:bidi="ar-SA"/>
        </w:rPr>
        <w:t>六、大同市灵丘县生态环境保护综合行政执法队负责该项目建设期及运营期日常监督管理工作。</w:t>
      </w:r>
    </w:p>
    <w:p w14:paraId="3319921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376" w:firstLineChars="200"/>
        <w:jc w:val="both"/>
        <w:textAlignment w:val="baseline"/>
        <w:rPr>
          <w:rStyle w:val="10"/>
          <w:rFonts w:ascii="仿宋_GB2312" w:hAnsi="仿宋_GB2312" w:eastAsia="仿宋_GB2312"/>
          <w:b w:val="0"/>
          <w:i w:val="0"/>
          <w:caps w:val="0"/>
          <w:spacing w:val="-11"/>
          <w:w w:val="100"/>
          <w:kern w:val="2"/>
          <w:sz w:val="21"/>
          <w:szCs w:val="21"/>
          <w:lang w:val="en-US" w:eastAsia="zh-CN" w:bidi="ar-SA"/>
        </w:rPr>
      </w:pPr>
    </w:p>
    <w:p w14:paraId="49C8DD82">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376" w:firstLineChars="200"/>
        <w:jc w:val="both"/>
        <w:textAlignment w:val="baseline"/>
        <w:rPr>
          <w:rStyle w:val="10"/>
          <w:rFonts w:ascii="仿宋_GB2312" w:hAnsi="仿宋_GB2312" w:eastAsia="仿宋_GB2312"/>
          <w:b w:val="0"/>
          <w:i w:val="0"/>
          <w:caps w:val="0"/>
          <w:spacing w:val="-11"/>
          <w:w w:val="100"/>
          <w:kern w:val="2"/>
          <w:sz w:val="21"/>
          <w:szCs w:val="21"/>
          <w:lang w:val="en-US" w:eastAsia="zh-CN" w:bidi="ar-SA"/>
        </w:rPr>
      </w:pPr>
    </w:p>
    <w:p w14:paraId="25C5D74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376" w:firstLineChars="200"/>
        <w:jc w:val="both"/>
        <w:textAlignment w:val="baseline"/>
        <w:rPr>
          <w:rStyle w:val="10"/>
          <w:rFonts w:ascii="仿宋_GB2312" w:hAnsi="仿宋_GB2312" w:eastAsia="仿宋_GB2312"/>
          <w:b w:val="0"/>
          <w:i w:val="0"/>
          <w:caps w:val="0"/>
          <w:spacing w:val="-11"/>
          <w:w w:val="100"/>
          <w:kern w:val="2"/>
          <w:sz w:val="21"/>
          <w:szCs w:val="21"/>
          <w:lang w:val="en-US" w:eastAsia="zh-CN" w:bidi="ar-SA"/>
        </w:rPr>
      </w:pPr>
    </w:p>
    <w:p w14:paraId="212CC7E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376" w:firstLineChars="200"/>
        <w:jc w:val="both"/>
        <w:textAlignment w:val="baseline"/>
        <w:rPr>
          <w:rStyle w:val="10"/>
          <w:rFonts w:ascii="仿宋_GB2312" w:hAnsi="仿宋_GB2312" w:eastAsia="仿宋_GB2312"/>
          <w:b w:val="0"/>
          <w:i w:val="0"/>
          <w:caps w:val="0"/>
          <w:spacing w:val="-11"/>
          <w:w w:val="100"/>
          <w:kern w:val="2"/>
          <w:sz w:val="21"/>
          <w:szCs w:val="21"/>
          <w:lang w:val="en-US" w:eastAsia="zh-CN" w:bidi="ar-SA"/>
        </w:rPr>
      </w:pPr>
      <w:bookmarkStart w:id="0" w:name="_GoBack"/>
      <w:bookmarkEnd w:id="0"/>
    </w:p>
    <w:p w14:paraId="1731E41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376" w:firstLineChars="200"/>
        <w:jc w:val="both"/>
        <w:textAlignment w:val="baseline"/>
        <w:rPr>
          <w:rStyle w:val="10"/>
          <w:rFonts w:ascii="仿宋_GB2312" w:hAnsi="仿宋_GB2312" w:eastAsia="仿宋_GB2312"/>
          <w:b w:val="0"/>
          <w:i w:val="0"/>
          <w:caps w:val="0"/>
          <w:spacing w:val="-11"/>
          <w:w w:val="100"/>
          <w:kern w:val="2"/>
          <w:sz w:val="21"/>
          <w:szCs w:val="21"/>
          <w:lang w:val="en-US" w:eastAsia="zh-CN" w:bidi="ar-SA"/>
        </w:rPr>
      </w:pPr>
    </w:p>
    <w:p w14:paraId="0DD54DA2">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376" w:firstLineChars="200"/>
        <w:jc w:val="both"/>
        <w:textAlignment w:val="baseline"/>
        <w:rPr>
          <w:rStyle w:val="10"/>
          <w:rFonts w:ascii="仿宋_GB2312" w:hAnsi="仿宋_GB2312" w:eastAsia="仿宋_GB2312"/>
          <w:b w:val="0"/>
          <w:i w:val="0"/>
          <w:caps w:val="0"/>
          <w:spacing w:val="-11"/>
          <w:w w:val="100"/>
          <w:kern w:val="2"/>
          <w:sz w:val="21"/>
          <w:szCs w:val="21"/>
          <w:lang w:val="en-US" w:eastAsia="zh-CN" w:bidi="ar-SA"/>
        </w:rPr>
      </w:pPr>
    </w:p>
    <w:p w14:paraId="782E397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3576" w:firstLineChars="1200"/>
        <w:jc w:val="both"/>
        <w:textAlignment w:val="baseline"/>
        <w:rPr>
          <w:rStyle w:val="10"/>
          <w:rFonts w:ascii="仿宋_GB2312" w:hAnsi="仿宋_GB2312" w:eastAsia="仿宋_GB2312"/>
          <w:b w:val="0"/>
          <w:i w:val="0"/>
          <w:caps w:val="0"/>
          <w:spacing w:val="-11"/>
          <w:w w:val="100"/>
          <w:kern w:val="2"/>
          <w:sz w:val="32"/>
          <w:szCs w:val="32"/>
          <w:lang w:val="en-US" w:eastAsia="zh-CN" w:bidi="ar-SA"/>
        </w:rPr>
      </w:pPr>
      <w:r>
        <w:rPr>
          <w:rStyle w:val="10"/>
          <w:rFonts w:ascii="仿宋_GB2312" w:hAnsi="仿宋_GB2312" w:eastAsia="仿宋_GB2312"/>
          <w:b w:val="0"/>
          <w:i w:val="0"/>
          <w:caps w:val="0"/>
          <w:spacing w:val="-11"/>
          <w:w w:val="100"/>
          <w:kern w:val="2"/>
          <w:sz w:val="32"/>
          <w:szCs w:val="32"/>
          <w:lang w:val="en-US" w:eastAsia="zh-CN" w:bidi="ar-SA"/>
        </w:rPr>
        <w:t>大同市生态环境局灵丘分局</w:t>
      </w:r>
    </w:p>
    <w:p w14:paraId="2B94C63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4172" w:firstLineChars="1400"/>
        <w:jc w:val="both"/>
        <w:textAlignment w:val="baseline"/>
        <w:rPr>
          <w:rFonts w:hint="eastAsia" w:ascii="仿宋_GB2312" w:hAnsi="仿宋_GB2312" w:eastAsia="仿宋_GB2312" w:cs="仿宋_GB2312"/>
          <w:spacing w:val="-11"/>
          <w:sz w:val="32"/>
          <w:szCs w:val="32"/>
        </w:rPr>
      </w:pPr>
      <w:r>
        <w:rPr>
          <w:rStyle w:val="10"/>
          <w:rFonts w:ascii="仿宋_GB2312" w:hAnsi="仿宋_GB2312" w:eastAsia="仿宋_GB2312"/>
          <w:b w:val="0"/>
          <w:i w:val="0"/>
          <w:caps w:val="0"/>
          <w:spacing w:val="-11"/>
          <w:w w:val="100"/>
          <w:kern w:val="2"/>
          <w:sz w:val="32"/>
          <w:szCs w:val="32"/>
          <w:lang w:val="en-US" w:eastAsia="zh-CN" w:bidi="ar-SA"/>
        </w:rPr>
        <w:t>202</w:t>
      </w:r>
      <w:r>
        <w:rPr>
          <w:rStyle w:val="10"/>
          <w:rFonts w:hint="eastAsia" w:ascii="仿宋_GB2312" w:hAnsi="仿宋_GB2312" w:eastAsia="仿宋_GB2312"/>
          <w:b w:val="0"/>
          <w:i w:val="0"/>
          <w:caps w:val="0"/>
          <w:spacing w:val="-11"/>
          <w:w w:val="100"/>
          <w:kern w:val="2"/>
          <w:sz w:val="32"/>
          <w:szCs w:val="32"/>
          <w:lang w:val="en-US" w:eastAsia="zh-CN" w:bidi="ar-SA"/>
        </w:rPr>
        <w:t>4</w:t>
      </w:r>
      <w:r>
        <w:rPr>
          <w:rStyle w:val="10"/>
          <w:rFonts w:ascii="仿宋_GB2312" w:hAnsi="仿宋_GB2312" w:eastAsia="仿宋_GB2312"/>
          <w:b w:val="0"/>
          <w:i w:val="0"/>
          <w:caps w:val="0"/>
          <w:spacing w:val="-11"/>
          <w:w w:val="100"/>
          <w:kern w:val="2"/>
          <w:sz w:val="32"/>
          <w:szCs w:val="32"/>
          <w:lang w:val="en-US" w:eastAsia="zh-CN" w:bidi="ar-SA"/>
        </w:rPr>
        <w:t>年</w:t>
      </w:r>
      <w:r>
        <w:rPr>
          <w:rStyle w:val="10"/>
          <w:rFonts w:hint="eastAsia" w:ascii="仿宋_GB2312" w:hAnsi="仿宋_GB2312" w:eastAsia="仿宋_GB2312"/>
          <w:b w:val="0"/>
          <w:i w:val="0"/>
          <w:caps w:val="0"/>
          <w:spacing w:val="-11"/>
          <w:w w:val="100"/>
          <w:kern w:val="2"/>
          <w:sz w:val="32"/>
          <w:szCs w:val="32"/>
          <w:lang w:val="en-US" w:eastAsia="zh-CN" w:bidi="ar-SA"/>
        </w:rPr>
        <w:t>12</w:t>
      </w:r>
      <w:r>
        <w:rPr>
          <w:rStyle w:val="10"/>
          <w:rFonts w:ascii="仿宋_GB2312" w:hAnsi="仿宋_GB2312" w:eastAsia="仿宋_GB2312"/>
          <w:b w:val="0"/>
          <w:i w:val="0"/>
          <w:caps w:val="0"/>
          <w:spacing w:val="-11"/>
          <w:w w:val="100"/>
          <w:kern w:val="2"/>
          <w:sz w:val="32"/>
          <w:szCs w:val="32"/>
          <w:lang w:val="en-US" w:eastAsia="zh-CN" w:bidi="ar-SA"/>
        </w:rPr>
        <w:t>月</w:t>
      </w:r>
      <w:r>
        <w:rPr>
          <w:rStyle w:val="10"/>
          <w:rFonts w:hint="eastAsia" w:ascii="仿宋_GB2312" w:hAnsi="仿宋_GB2312" w:eastAsia="仿宋_GB2312"/>
          <w:b w:val="0"/>
          <w:i w:val="0"/>
          <w:caps w:val="0"/>
          <w:spacing w:val="-11"/>
          <w:w w:val="100"/>
          <w:kern w:val="2"/>
          <w:sz w:val="32"/>
          <w:szCs w:val="32"/>
          <w:lang w:val="en-US" w:eastAsia="zh-CN" w:bidi="ar-SA"/>
        </w:rPr>
        <w:t>2</w:t>
      </w:r>
      <w:r>
        <w:rPr>
          <w:rStyle w:val="10"/>
          <w:rFonts w:ascii="仿宋_GB2312" w:hAnsi="仿宋_GB2312" w:eastAsia="仿宋_GB2312"/>
          <w:b w:val="0"/>
          <w:i w:val="0"/>
          <w:caps w:val="0"/>
          <w:spacing w:val="-11"/>
          <w:w w:val="100"/>
          <w:kern w:val="2"/>
          <w:sz w:val="32"/>
          <w:szCs w:val="32"/>
          <w:lang w:val="en-US" w:eastAsia="zh-CN" w:bidi="ar-SA"/>
        </w:rPr>
        <w:t>日</w:t>
      </w:r>
    </w:p>
    <w:p w14:paraId="79CC8A7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right="0" w:firstLine="6384" w:firstLineChars="1400"/>
        <w:jc w:val="both"/>
        <w:textAlignment w:val="baseline"/>
        <w:rPr>
          <w:rFonts w:hint="eastAsia" w:ascii="仿宋" w:hAnsi="仿宋" w:eastAsia="仿宋" w:cs="仿宋"/>
          <w:color w:val="auto"/>
          <w:spacing w:val="68"/>
          <w:sz w:val="32"/>
          <w:szCs w:val="32"/>
          <w:u w:val="single"/>
          <w:lang w:val="en-US" w:eastAsia="zh-CN"/>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3B9F3D19"/>
    <w:rsid w:val="0BC63B74"/>
    <w:rsid w:val="0EEC057A"/>
    <w:rsid w:val="0F6A0E1E"/>
    <w:rsid w:val="10892C41"/>
    <w:rsid w:val="1E8A2A3D"/>
    <w:rsid w:val="1ED24E6B"/>
    <w:rsid w:val="1EDD7021"/>
    <w:rsid w:val="25462E46"/>
    <w:rsid w:val="2AB54E7F"/>
    <w:rsid w:val="34065DE1"/>
    <w:rsid w:val="3B9F3D19"/>
    <w:rsid w:val="3F9B5BB1"/>
    <w:rsid w:val="42074515"/>
    <w:rsid w:val="48D423BE"/>
    <w:rsid w:val="49D10ACC"/>
    <w:rsid w:val="4EC64BEA"/>
    <w:rsid w:val="4F0C50FB"/>
    <w:rsid w:val="5AD216C5"/>
    <w:rsid w:val="689E2EA1"/>
    <w:rsid w:val="6A04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UserStyle_7"/>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2">
    <w:name w:val="UserStyle_20"/>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13">
    <w:name w:val="UserStyle_17"/>
    <w:autoRedefine/>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1490</Words>
  <Characters>1605</Characters>
  <Lines>0</Lines>
  <Paragraphs>0</Paragraphs>
  <TotalTime>0</TotalTime>
  <ScaleCrop>false</ScaleCrop>
  <LinksUpToDate>false</LinksUpToDate>
  <CharactersWithSpaces>1607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2020-05-25T09:58:00Z</dcterms:created>
  <dc:creator>丽纱</dc:creator>
  <cp:lastModifiedBy>丽纱</cp:lastModifiedBy>
  <dcterms:modified xsi:type="dcterms:W3CDTF">2024-12-02T02:52:39Z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37A6BBA76E41482195666D465E33CC4F</vt:lpwstr>
  </property>
</Properties>
</file>