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29D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eastAsia" w:ascii="微软雅黑" w:hAnsi="微软雅黑" w:eastAsia="宋体" w:cs="微软雅黑"/>
          <w:b/>
          <w:i w:val="0"/>
          <w:caps w:val="0"/>
          <w:color w:val="333333"/>
          <w:spacing w:val="0"/>
          <w:sz w:val="27"/>
          <w:szCs w:val="27"/>
          <w:lang w:val="en-US" w:eastAsia="zh-CN"/>
        </w:rPr>
      </w:pPr>
      <w:r>
        <w:rPr>
          <w:rFonts w:hint="eastAsia" w:ascii="宋体" w:hAnsi="宋体" w:eastAsia="宋体" w:cs="宋体"/>
          <w:b w:val="0"/>
          <w:i w:val="0"/>
          <w:caps w:val="0"/>
          <w:color w:val="000000"/>
          <w:spacing w:val="0"/>
          <w:sz w:val="30"/>
          <w:szCs w:val="30"/>
          <w:shd w:val="clear" w:fill="FFFFFF"/>
        </w:rPr>
        <w:t>大同市生态环境局灵丘分局202</w:t>
      </w:r>
      <w:r>
        <w:rPr>
          <w:rFonts w:hint="eastAsia" w:cs="宋体"/>
          <w:b w:val="0"/>
          <w:i w:val="0"/>
          <w:caps w:val="0"/>
          <w:color w:val="000000"/>
          <w:spacing w:val="0"/>
          <w:sz w:val="30"/>
          <w:szCs w:val="30"/>
          <w:shd w:val="clear" w:fill="FFFFFF"/>
          <w:lang w:val="en-US" w:eastAsia="zh-CN"/>
        </w:rPr>
        <w:t>4</w:t>
      </w:r>
      <w:r>
        <w:rPr>
          <w:rFonts w:hint="eastAsia" w:ascii="宋体" w:hAnsi="宋体" w:eastAsia="宋体" w:cs="宋体"/>
          <w:b w:val="0"/>
          <w:i w:val="0"/>
          <w:caps w:val="0"/>
          <w:color w:val="000000"/>
          <w:spacing w:val="0"/>
          <w:sz w:val="30"/>
          <w:szCs w:val="30"/>
          <w:shd w:val="clear" w:fill="FFFFFF"/>
        </w:rPr>
        <w:t>年</w:t>
      </w:r>
      <w:r>
        <w:rPr>
          <w:rFonts w:hint="eastAsia" w:cs="宋体"/>
          <w:b w:val="0"/>
          <w:i w:val="0"/>
          <w:caps w:val="0"/>
          <w:color w:val="000000"/>
          <w:spacing w:val="0"/>
          <w:sz w:val="30"/>
          <w:szCs w:val="30"/>
          <w:shd w:val="clear" w:fill="FFFFFF"/>
          <w:lang w:val="en-US" w:eastAsia="zh-CN"/>
        </w:rPr>
        <w:t>11</w:t>
      </w:r>
      <w:r>
        <w:rPr>
          <w:rFonts w:hint="eastAsia" w:ascii="宋体" w:hAnsi="宋体" w:eastAsia="宋体" w:cs="宋体"/>
          <w:b w:val="0"/>
          <w:i w:val="0"/>
          <w:caps w:val="0"/>
          <w:color w:val="000000"/>
          <w:spacing w:val="0"/>
          <w:sz w:val="30"/>
          <w:szCs w:val="30"/>
          <w:shd w:val="clear" w:fill="FFFFFF"/>
        </w:rPr>
        <w:t>月</w:t>
      </w:r>
      <w:r>
        <w:rPr>
          <w:rFonts w:hint="eastAsia" w:cs="宋体"/>
          <w:b w:val="0"/>
          <w:i w:val="0"/>
          <w:caps w:val="0"/>
          <w:color w:val="000000"/>
          <w:spacing w:val="0"/>
          <w:sz w:val="30"/>
          <w:szCs w:val="30"/>
          <w:shd w:val="clear" w:fill="FFFFFF"/>
          <w:lang w:val="en-US" w:eastAsia="zh-CN"/>
        </w:rPr>
        <w:t>26</w:t>
      </w:r>
      <w:r>
        <w:rPr>
          <w:rFonts w:hint="eastAsia" w:ascii="宋体" w:hAnsi="宋体" w:eastAsia="宋体" w:cs="宋体"/>
          <w:b w:val="0"/>
          <w:i w:val="0"/>
          <w:caps w:val="0"/>
          <w:color w:val="000000"/>
          <w:spacing w:val="0"/>
          <w:sz w:val="30"/>
          <w:szCs w:val="30"/>
          <w:shd w:val="clear" w:fill="FFFFFF"/>
        </w:rPr>
        <w:t>日拟作出的建设项目环境影响评价文件审批意见的公示</w:t>
      </w:r>
    </w:p>
    <w:p w14:paraId="0C7D3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default" w:ascii="Times New Roman" w:hAnsi="Times New Roman" w:cs="Times New Roman"/>
          <w:sz w:val="21"/>
          <w:szCs w:val="21"/>
        </w:rPr>
      </w:pPr>
      <w:r>
        <w:rPr>
          <w:rFonts w:ascii="仿宋_GB2312" w:hAnsi="Times New Roman" w:eastAsia="仿宋_GB2312" w:cs="仿宋_GB2312"/>
          <w:b w:val="0"/>
          <w:i w:val="0"/>
          <w:caps w:val="0"/>
          <w:color w:val="2A2A2A"/>
          <w:spacing w:val="0"/>
          <w:sz w:val="24"/>
          <w:szCs w:val="24"/>
          <w:shd w:val="clear" w:fill="FFFFFF"/>
        </w:rPr>
        <w:t>根据建设项目环境影响评价审批程序的有关规定，经审查，</w:t>
      </w:r>
      <w:r>
        <w:rPr>
          <w:rFonts w:hint="default" w:ascii="仿宋_GB2312" w:hAnsi="Times New Roman" w:eastAsia="仿宋_GB2312" w:cs="仿宋_GB2312"/>
          <w:b w:val="0"/>
          <w:i w:val="0"/>
          <w:caps w:val="0"/>
          <w:color w:val="2A2A2A"/>
          <w:spacing w:val="0"/>
          <w:sz w:val="24"/>
          <w:szCs w:val="24"/>
          <w:shd w:val="clear" w:fill="FFFFFF"/>
        </w:rPr>
        <w:t>202</w:t>
      </w:r>
      <w:r>
        <w:rPr>
          <w:rFonts w:hint="eastAsia" w:ascii="仿宋_GB2312" w:hAnsi="Times New Roman" w:eastAsia="仿宋_GB2312" w:cs="仿宋_GB2312"/>
          <w:b w:val="0"/>
          <w:i w:val="0"/>
          <w:caps w:val="0"/>
          <w:color w:val="2A2A2A"/>
          <w:spacing w:val="0"/>
          <w:sz w:val="24"/>
          <w:szCs w:val="24"/>
          <w:shd w:val="clear" w:fill="FFFFFF"/>
          <w:lang w:val="en-US" w:eastAsia="zh-CN"/>
        </w:rPr>
        <w:t>4</w:t>
      </w:r>
      <w:r>
        <w:rPr>
          <w:rFonts w:hint="default" w:ascii="仿宋_GB2312" w:hAnsi="Times New Roman" w:eastAsia="仿宋_GB2312" w:cs="仿宋_GB2312"/>
          <w:b w:val="0"/>
          <w:i w:val="0"/>
          <w:caps w:val="0"/>
          <w:color w:val="2A2A2A"/>
          <w:spacing w:val="0"/>
          <w:sz w:val="24"/>
          <w:szCs w:val="24"/>
          <w:shd w:val="clear" w:fill="FFFFFF"/>
        </w:rPr>
        <w:t>年</w:t>
      </w:r>
      <w:r>
        <w:rPr>
          <w:rFonts w:hint="eastAsia" w:ascii="仿宋_GB2312" w:hAnsi="Times New Roman" w:eastAsia="仿宋_GB2312" w:cs="仿宋_GB2312"/>
          <w:b w:val="0"/>
          <w:i w:val="0"/>
          <w:caps w:val="0"/>
          <w:color w:val="2A2A2A"/>
          <w:spacing w:val="0"/>
          <w:sz w:val="24"/>
          <w:szCs w:val="24"/>
          <w:shd w:val="clear" w:fill="FFFFFF"/>
          <w:lang w:val="en-US" w:eastAsia="zh-CN"/>
        </w:rPr>
        <w:t>11</w:t>
      </w:r>
      <w:r>
        <w:rPr>
          <w:rFonts w:hint="default" w:ascii="仿宋_GB2312" w:hAnsi="Times New Roman" w:eastAsia="仿宋_GB2312" w:cs="仿宋_GB2312"/>
          <w:b w:val="0"/>
          <w:i w:val="0"/>
          <w:caps w:val="0"/>
          <w:color w:val="2A2A2A"/>
          <w:spacing w:val="0"/>
          <w:sz w:val="24"/>
          <w:szCs w:val="24"/>
          <w:shd w:val="clear" w:fill="FFFFFF"/>
        </w:rPr>
        <w:t>月</w:t>
      </w:r>
      <w:r>
        <w:rPr>
          <w:rFonts w:hint="eastAsia" w:ascii="仿宋_GB2312" w:hAnsi="Times New Roman" w:eastAsia="仿宋_GB2312" w:cs="仿宋_GB2312"/>
          <w:b w:val="0"/>
          <w:i w:val="0"/>
          <w:caps w:val="0"/>
          <w:color w:val="2A2A2A"/>
          <w:spacing w:val="0"/>
          <w:sz w:val="24"/>
          <w:szCs w:val="24"/>
          <w:shd w:val="clear" w:fill="FFFFFF"/>
          <w:lang w:val="en-US" w:eastAsia="zh-CN"/>
        </w:rPr>
        <w:t>26</w:t>
      </w:r>
      <w:r>
        <w:rPr>
          <w:rFonts w:hint="default" w:ascii="仿宋_GB2312" w:hAnsi="Times New Roman" w:eastAsia="仿宋_GB2312" w:cs="仿宋_GB2312"/>
          <w:b w:val="0"/>
          <w:i w:val="0"/>
          <w:caps w:val="0"/>
          <w:color w:val="2A2A2A"/>
          <w:spacing w:val="0"/>
          <w:sz w:val="24"/>
          <w:szCs w:val="24"/>
          <w:shd w:val="clear" w:fill="FFFFFF"/>
        </w:rPr>
        <w:t>日我局拟对以下建设项目环境影响评价文件作出审批意见。为保证此次审查工作的严肃性和公正性，现将拟作出审批意见的环境影响评价文件基本情况予以公示，</w:t>
      </w:r>
      <w:r>
        <w:rPr>
          <w:rFonts w:hint="default" w:ascii="仿宋_GB2312" w:hAnsi="Times New Roman" w:eastAsia="仿宋_GB2312" w:cs="仿宋_GB2312"/>
          <w:b w:val="0"/>
          <w:i w:val="0"/>
          <w:caps w:val="0"/>
          <w:color w:val="3C3C3C"/>
          <w:spacing w:val="0"/>
          <w:sz w:val="24"/>
          <w:szCs w:val="24"/>
          <w:shd w:val="clear" w:fill="FFFFFF"/>
        </w:rPr>
        <w:t>公示期为202</w:t>
      </w:r>
      <w:r>
        <w:rPr>
          <w:rFonts w:hint="eastAsia" w:ascii="仿宋_GB2312" w:hAnsi="Times New Roman" w:eastAsia="仿宋_GB2312" w:cs="仿宋_GB2312"/>
          <w:b w:val="0"/>
          <w:i w:val="0"/>
          <w:caps w:val="0"/>
          <w:color w:val="3C3C3C"/>
          <w:spacing w:val="0"/>
          <w:sz w:val="24"/>
          <w:szCs w:val="24"/>
          <w:shd w:val="clear" w:fill="FFFFFF"/>
          <w:lang w:val="en-US" w:eastAsia="zh-CN"/>
        </w:rPr>
        <w:t>4</w:t>
      </w:r>
      <w:r>
        <w:rPr>
          <w:rFonts w:hint="default" w:ascii="仿宋_GB2312" w:hAnsi="Times New Roman" w:eastAsia="仿宋_GB2312" w:cs="仿宋_GB2312"/>
          <w:b w:val="0"/>
          <w:i w:val="0"/>
          <w:caps w:val="0"/>
          <w:color w:val="3C3C3C"/>
          <w:spacing w:val="0"/>
          <w:sz w:val="24"/>
          <w:szCs w:val="24"/>
          <w:shd w:val="clear" w:fill="FFFFFF"/>
        </w:rPr>
        <w:t>年</w:t>
      </w:r>
      <w:r>
        <w:rPr>
          <w:rFonts w:hint="eastAsia" w:ascii="仿宋_GB2312" w:hAnsi="Times New Roman" w:eastAsia="仿宋_GB2312" w:cs="仿宋_GB2312"/>
          <w:b w:val="0"/>
          <w:i w:val="0"/>
          <w:caps w:val="0"/>
          <w:color w:val="3C3C3C"/>
          <w:spacing w:val="0"/>
          <w:sz w:val="24"/>
          <w:szCs w:val="24"/>
          <w:shd w:val="clear" w:fill="FFFFFF"/>
          <w:lang w:val="en-US" w:eastAsia="zh-CN"/>
        </w:rPr>
        <w:t>11</w:t>
      </w:r>
      <w:r>
        <w:rPr>
          <w:rFonts w:hint="default" w:ascii="仿宋_GB2312" w:hAnsi="Times New Roman" w:eastAsia="仿宋_GB2312" w:cs="仿宋_GB2312"/>
          <w:b w:val="0"/>
          <w:i w:val="0"/>
          <w:caps w:val="0"/>
          <w:color w:val="3C3C3C"/>
          <w:spacing w:val="0"/>
          <w:sz w:val="24"/>
          <w:szCs w:val="24"/>
          <w:shd w:val="clear" w:fill="FFFFFF"/>
        </w:rPr>
        <w:t>月</w:t>
      </w:r>
      <w:r>
        <w:rPr>
          <w:rFonts w:hint="eastAsia" w:ascii="仿宋_GB2312" w:hAnsi="Times New Roman" w:eastAsia="仿宋_GB2312" w:cs="仿宋_GB2312"/>
          <w:b w:val="0"/>
          <w:i w:val="0"/>
          <w:caps w:val="0"/>
          <w:color w:val="3C3C3C"/>
          <w:spacing w:val="0"/>
          <w:sz w:val="24"/>
          <w:szCs w:val="24"/>
          <w:shd w:val="clear" w:fill="FFFFFF"/>
          <w:lang w:val="en-US" w:eastAsia="zh-CN"/>
        </w:rPr>
        <w:t>26</w:t>
      </w:r>
      <w:r>
        <w:rPr>
          <w:rFonts w:hint="default" w:ascii="仿宋_GB2312" w:hAnsi="Times New Roman" w:eastAsia="仿宋_GB2312" w:cs="仿宋_GB2312"/>
          <w:b w:val="0"/>
          <w:i w:val="0"/>
          <w:caps w:val="0"/>
          <w:color w:val="3C3C3C"/>
          <w:spacing w:val="0"/>
          <w:sz w:val="24"/>
          <w:szCs w:val="24"/>
          <w:shd w:val="clear" w:fill="FFFFFF"/>
        </w:rPr>
        <w:t>日－</w:t>
      </w:r>
      <w:r>
        <w:rPr>
          <w:rFonts w:hint="eastAsia" w:ascii="仿宋_GB2312" w:hAnsi="Times New Roman" w:eastAsia="仿宋_GB2312" w:cs="仿宋_GB2312"/>
          <w:b w:val="0"/>
          <w:i w:val="0"/>
          <w:caps w:val="0"/>
          <w:color w:val="3C3C3C"/>
          <w:spacing w:val="0"/>
          <w:sz w:val="24"/>
          <w:szCs w:val="24"/>
          <w:shd w:val="clear" w:fill="FFFFFF"/>
          <w:lang w:val="en-US" w:eastAsia="zh-CN"/>
        </w:rPr>
        <w:t>12月2</w:t>
      </w:r>
      <w:r>
        <w:rPr>
          <w:rFonts w:hint="default" w:ascii="仿宋_GB2312" w:hAnsi="Times New Roman" w:eastAsia="仿宋_GB2312" w:cs="仿宋_GB2312"/>
          <w:b w:val="0"/>
          <w:i w:val="0"/>
          <w:caps w:val="0"/>
          <w:color w:val="3C3C3C"/>
          <w:spacing w:val="0"/>
          <w:sz w:val="24"/>
          <w:szCs w:val="24"/>
          <w:shd w:val="clear" w:fill="FFFFFF"/>
        </w:rPr>
        <w:t>日（</w:t>
      </w:r>
      <w:r>
        <w:rPr>
          <w:rFonts w:hint="eastAsia" w:ascii="仿宋_GB2312" w:hAnsi="Times New Roman" w:eastAsia="仿宋_GB2312" w:cs="仿宋_GB2312"/>
          <w:b w:val="0"/>
          <w:i w:val="0"/>
          <w:caps w:val="0"/>
          <w:color w:val="3C3C3C"/>
          <w:spacing w:val="0"/>
          <w:sz w:val="24"/>
          <w:szCs w:val="24"/>
          <w:shd w:val="clear" w:fill="FFFFFF"/>
          <w:lang w:val="en-US" w:eastAsia="zh-CN"/>
        </w:rPr>
        <w:t>5</w:t>
      </w:r>
      <w:r>
        <w:rPr>
          <w:rFonts w:hint="default" w:ascii="仿宋_GB2312" w:hAnsi="Times New Roman" w:eastAsia="仿宋_GB2312" w:cs="仿宋_GB2312"/>
          <w:b w:val="0"/>
          <w:i w:val="0"/>
          <w:caps w:val="0"/>
          <w:color w:val="3C3C3C"/>
          <w:spacing w:val="0"/>
          <w:sz w:val="24"/>
          <w:szCs w:val="24"/>
          <w:shd w:val="clear" w:fill="FFFFFF"/>
        </w:rPr>
        <w:t>个工作日）</w:t>
      </w:r>
    </w:p>
    <w:p w14:paraId="1F8CC5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cs="Times New Roman"/>
          <w:sz w:val="21"/>
          <w:szCs w:val="21"/>
        </w:rPr>
      </w:pPr>
      <w:r>
        <w:rPr>
          <w:rFonts w:hint="default" w:ascii="仿宋_GB2312" w:hAnsi="Times New Roman" w:eastAsia="仿宋_GB2312" w:cs="仿宋_GB2312"/>
          <w:b w:val="0"/>
          <w:i w:val="0"/>
          <w:caps w:val="0"/>
          <w:color w:val="2A2A2A"/>
          <w:spacing w:val="0"/>
          <w:sz w:val="24"/>
          <w:szCs w:val="24"/>
          <w:shd w:val="clear" w:fill="FFFFFF"/>
        </w:rPr>
        <w:t>听证权利告知：依据《中华人民共和国行政许可法》，自公示起</w:t>
      </w:r>
      <w:r>
        <w:rPr>
          <w:rFonts w:hint="eastAsia" w:ascii="仿宋_GB2312" w:hAnsi="Times New Roman" w:eastAsia="仿宋_GB2312" w:cs="仿宋_GB2312"/>
          <w:b w:val="0"/>
          <w:i w:val="0"/>
          <w:caps w:val="0"/>
          <w:color w:val="2A2A2A"/>
          <w:spacing w:val="0"/>
          <w:sz w:val="24"/>
          <w:szCs w:val="24"/>
          <w:shd w:val="clear" w:fill="FFFFFF"/>
          <w:lang w:val="en-US" w:eastAsia="zh-CN"/>
        </w:rPr>
        <w:t>5</w:t>
      </w:r>
      <w:r>
        <w:rPr>
          <w:rFonts w:hint="default" w:ascii="仿宋_GB2312" w:hAnsi="Times New Roman" w:eastAsia="仿宋_GB2312" w:cs="仿宋_GB2312"/>
          <w:b w:val="0"/>
          <w:i w:val="0"/>
          <w:caps w:val="0"/>
          <w:color w:val="2A2A2A"/>
          <w:spacing w:val="0"/>
          <w:sz w:val="24"/>
          <w:szCs w:val="24"/>
          <w:shd w:val="clear" w:fill="FFFFFF"/>
        </w:rPr>
        <w:t>个工作日内申请人、利害关系人可对以下拟作出的建设项目环境影响评价文件审批意见要求听证。</w:t>
      </w:r>
    </w:p>
    <w:p w14:paraId="37712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b w:val="0"/>
          <w:i w:val="0"/>
          <w:caps w:val="0"/>
          <w:color w:val="2A2A2A"/>
          <w:spacing w:val="0"/>
          <w:sz w:val="24"/>
          <w:szCs w:val="24"/>
          <w:shd w:val="clear" w:fill="FFFFFF"/>
        </w:rPr>
        <w:t>联系电话：0352－8537</w:t>
      </w:r>
      <w:r>
        <w:rPr>
          <w:rFonts w:hint="eastAsia" w:ascii="仿宋_GB2312" w:hAnsi="Times New Roman" w:eastAsia="仿宋_GB2312" w:cs="仿宋_GB2312"/>
          <w:b w:val="0"/>
          <w:i w:val="0"/>
          <w:caps w:val="0"/>
          <w:color w:val="2A2A2A"/>
          <w:spacing w:val="0"/>
          <w:sz w:val="24"/>
          <w:szCs w:val="24"/>
          <w:shd w:val="clear" w:fill="FFFFFF"/>
          <w:lang w:val="en-US" w:eastAsia="zh-CN"/>
        </w:rPr>
        <w:t>816</w:t>
      </w:r>
      <w:r>
        <w:rPr>
          <w:rFonts w:hint="default" w:ascii="仿宋_GB2312" w:hAnsi="Times New Roman" w:eastAsia="仿宋_GB2312" w:cs="仿宋_GB2312"/>
          <w:b w:val="0"/>
          <w:i w:val="0"/>
          <w:caps w:val="0"/>
          <w:color w:val="2A2A2A"/>
          <w:spacing w:val="0"/>
          <w:sz w:val="24"/>
          <w:szCs w:val="24"/>
          <w:shd w:val="clear" w:fill="FFFFFF"/>
        </w:rPr>
        <w:t>（灵丘县政务大厅大同市生态环境局灵丘分局）</w:t>
      </w:r>
    </w:p>
    <w:p w14:paraId="67D8A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eastAsia="仿宋_GB2312" w:cs="Times New Roman"/>
          <w:sz w:val="21"/>
          <w:szCs w:val="21"/>
          <w:lang w:val="en-US" w:eastAsia="zh-CN"/>
        </w:rPr>
      </w:pPr>
      <w:r>
        <w:rPr>
          <w:rFonts w:hint="default" w:ascii="仿宋_GB2312" w:hAnsi="Times New Roman" w:eastAsia="仿宋_GB2312" w:cs="仿宋_GB2312"/>
          <w:b w:val="0"/>
          <w:i w:val="0"/>
          <w:caps w:val="0"/>
          <w:color w:val="2A2A2A"/>
          <w:spacing w:val="0"/>
          <w:sz w:val="24"/>
          <w:szCs w:val="24"/>
          <w:shd w:val="clear" w:fill="FFFFFF"/>
        </w:rPr>
        <w:t>通讯地址：灵丘县政务大厅</w:t>
      </w:r>
      <w:r>
        <w:rPr>
          <w:rFonts w:hint="default" w:ascii="仿宋_GB2312" w:hAnsi="Times New Roman" w:eastAsia="仿宋_GB2312" w:cs="仿宋_GB2312"/>
          <w:b w:val="0"/>
          <w:i w:val="0"/>
          <w:caps w:val="0"/>
          <w:color w:val="3C3C3C"/>
          <w:spacing w:val="0"/>
          <w:sz w:val="24"/>
          <w:szCs w:val="24"/>
          <w:shd w:val="clear" w:fill="FFFFFF"/>
        </w:rPr>
        <w:t>     </w:t>
      </w:r>
      <w:r>
        <w:rPr>
          <w:rFonts w:hint="default" w:ascii="仿宋_GB2312" w:hAnsi="Times New Roman" w:eastAsia="仿宋_GB2312" w:cs="仿宋_GB2312"/>
          <w:b w:val="0"/>
          <w:i w:val="0"/>
          <w:caps w:val="0"/>
          <w:color w:val="2A2A2A"/>
          <w:spacing w:val="0"/>
          <w:sz w:val="24"/>
          <w:szCs w:val="24"/>
          <w:shd w:val="clear" w:fill="FFFFFF"/>
        </w:rPr>
        <w:t>邮编：03</w:t>
      </w:r>
      <w:r>
        <w:rPr>
          <w:rFonts w:hint="eastAsia" w:ascii="仿宋_GB2312" w:hAnsi="Times New Roman" w:eastAsia="仿宋_GB2312" w:cs="仿宋_GB2312"/>
          <w:b w:val="0"/>
          <w:i w:val="0"/>
          <w:caps w:val="0"/>
          <w:color w:val="2A2A2A"/>
          <w:spacing w:val="0"/>
          <w:sz w:val="24"/>
          <w:szCs w:val="24"/>
          <w:shd w:val="clear" w:fill="FFFFFF"/>
          <w:lang w:val="en-US" w:eastAsia="zh-CN"/>
        </w:rPr>
        <w:t>4400</w:t>
      </w:r>
    </w:p>
    <w:p w14:paraId="5BC9B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C3C3C"/>
          <w:spacing w:val="0"/>
          <w:sz w:val="21"/>
          <w:szCs w:val="21"/>
          <w:shd w:val="clear" w:fill="FFFFFF"/>
        </w:rPr>
        <w:t> </w:t>
      </w:r>
    </w:p>
    <w:p w14:paraId="06D13F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C3C3C"/>
          <w:spacing w:val="0"/>
          <w:sz w:val="21"/>
          <w:szCs w:val="21"/>
          <w:shd w:val="clear" w:fill="FFFFFF"/>
        </w:rPr>
        <w:t> </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8"/>
        <w:gridCol w:w="728"/>
        <w:gridCol w:w="766"/>
        <w:gridCol w:w="745"/>
        <w:gridCol w:w="690"/>
        <w:gridCol w:w="1718"/>
        <w:gridCol w:w="3733"/>
      </w:tblGrid>
      <w:tr w14:paraId="08A0E2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 w:hRule="atLeast"/>
          <w:jc w:val="center"/>
        </w:trPr>
        <w:tc>
          <w:tcPr>
            <w:tcW w:w="568"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14:paraId="274D4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序号</w:t>
            </w:r>
          </w:p>
        </w:tc>
        <w:tc>
          <w:tcPr>
            <w:tcW w:w="72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7A535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项目</w:t>
            </w:r>
          </w:p>
          <w:p w14:paraId="548599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名称</w:t>
            </w:r>
          </w:p>
        </w:tc>
        <w:tc>
          <w:tcPr>
            <w:tcW w:w="766"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42B8D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建设地点</w:t>
            </w:r>
          </w:p>
        </w:tc>
        <w:tc>
          <w:tcPr>
            <w:tcW w:w="745"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29D90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建设</w:t>
            </w:r>
          </w:p>
          <w:p w14:paraId="2BF55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单位</w:t>
            </w:r>
          </w:p>
        </w:tc>
        <w:tc>
          <w:tcPr>
            <w:tcW w:w="690"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41CFE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环境影响评价机构</w:t>
            </w:r>
          </w:p>
        </w:tc>
        <w:tc>
          <w:tcPr>
            <w:tcW w:w="171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1F5C32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项目概况</w:t>
            </w:r>
          </w:p>
        </w:tc>
        <w:tc>
          <w:tcPr>
            <w:tcW w:w="3733"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246C29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主要环境影响及预防或者减轻不良环境影响的对策和措施</w:t>
            </w:r>
          </w:p>
        </w:tc>
      </w:tr>
      <w:tr w14:paraId="0A3775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3" w:hRule="atLeast"/>
          <w:jc w:val="center"/>
        </w:trPr>
        <w:tc>
          <w:tcPr>
            <w:tcW w:w="568"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74203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1</w:t>
            </w:r>
          </w:p>
        </w:tc>
        <w:tc>
          <w:tcPr>
            <w:tcW w:w="72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5CB39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Calibri" w:hAnsi="Calibri" w:eastAsia="仿宋" w:cs="Calibri"/>
                <w:sz w:val="18"/>
                <w:szCs w:val="18"/>
                <w:lang w:eastAsia="zh-CN"/>
              </w:rPr>
              <w:t>灵丘县殡葬服务中心建设项目</w:t>
            </w:r>
          </w:p>
        </w:tc>
        <w:tc>
          <w:tcPr>
            <w:tcW w:w="766"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0F8B4F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仿宋" w:hAnsi="仿宋" w:eastAsia="仿宋" w:cs="仿宋"/>
                <w:color w:val="auto"/>
                <w:sz w:val="18"/>
                <w:szCs w:val="18"/>
              </w:rPr>
              <w:t>山西省大同市灵丘县武灵镇泽水村东南1460m处羊圈沟</w:t>
            </w:r>
          </w:p>
        </w:tc>
        <w:tc>
          <w:tcPr>
            <w:tcW w:w="74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0CD7AD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Calibri" w:hAnsi="Calibri" w:eastAsia="仿宋" w:cs="Calibri"/>
                <w:sz w:val="18"/>
                <w:szCs w:val="18"/>
                <w:lang w:eastAsia="zh-CN"/>
              </w:rPr>
              <w:t>灵丘县民政局</w:t>
            </w:r>
          </w:p>
        </w:tc>
        <w:tc>
          <w:tcPr>
            <w:tcW w:w="69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6C3D9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仿宋_GB2312" w:hAnsi="Calibri" w:eastAsia="仿宋_GB2312" w:cs="仿宋_GB2312"/>
                <w:sz w:val="18"/>
                <w:szCs w:val="18"/>
                <w:lang w:eastAsia="zh-CN"/>
              </w:rPr>
              <w:t>山西科润得生态环境科技有限公司</w:t>
            </w:r>
          </w:p>
        </w:tc>
        <w:tc>
          <w:tcPr>
            <w:tcW w:w="171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577CCB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color w:val="auto"/>
                <w:sz w:val="18"/>
                <w:szCs w:val="18"/>
              </w:rPr>
            </w:pPr>
            <w:r>
              <w:rPr>
                <w:rFonts w:hint="eastAsia" w:ascii="仿宋_GB2312" w:hAnsi="仿宋" w:eastAsia="仿宋_GB2312" w:cs="仿宋"/>
                <w:color w:val="auto"/>
                <w:spacing w:val="-11"/>
                <w:sz w:val="18"/>
                <w:szCs w:val="18"/>
                <w:lang w:val="en-US" w:eastAsia="zh-CN"/>
              </w:rPr>
              <w:t>项目位于</w:t>
            </w:r>
            <w:r>
              <w:rPr>
                <w:rStyle w:val="7"/>
                <w:rFonts w:hint="eastAsia" w:ascii="仿宋_GB2312" w:hAnsi="仿宋" w:eastAsia="仿宋_GB2312"/>
                <w:b w:val="0"/>
                <w:i w:val="0"/>
                <w:caps w:val="0"/>
                <w:color w:val="000000"/>
                <w:spacing w:val="-6"/>
                <w:w w:val="100"/>
                <w:sz w:val="18"/>
                <w:szCs w:val="18"/>
                <w:lang w:val="en-US" w:eastAsia="zh-CN" w:bidi="ar-SA"/>
              </w:rPr>
              <w:t>山西省大同市灵丘县武灵镇泽水村东1460m处的羊圈沟</w:t>
            </w:r>
            <w:r>
              <w:rPr>
                <w:rStyle w:val="7"/>
                <w:rFonts w:hint="eastAsia" w:ascii="仿宋_GB2312" w:hAnsi="仿宋" w:eastAsia="仿宋_GB2312"/>
                <w:b w:val="0"/>
                <w:i w:val="0"/>
                <w:caps w:val="0"/>
                <w:color w:val="auto"/>
                <w:spacing w:val="-6"/>
                <w:w w:val="100"/>
                <w:sz w:val="18"/>
                <w:szCs w:val="18"/>
                <w:lang w:val="en-US" w:eastAsia="zh-CN" w:bidi="ar-SA"/>
              </w:rPr>
              <w:t>。</w:t>
            </w:r>
            <w:r>
              <w:rPr>
                <w:rStyle w:val="7"/>
                <w:rFonts w:hint="eastAsia" w:ascii="仿宋_GB2312" w:hAnsi="仿宋" w:eastAsia="仿宋_GB2312" w:cs="Times New Roman"/>
                <w:b w:val="0"/>
                <w:i w:val="0"/>
                <w:caps w:val="0"/>
                <w:color w:val="000000"/>
                <w:spacing w:val="-6"/>
                <w:w w:val="100"/>
                <w:sz w:val="18"/>
                <w:szCs w:val="18"/>
                <w:lang w:val="en-US" w:eastAsia="zh-CN" w:bidi="ar-SA"/>
              </w:rPr>
              <w:t>项目总用地面积21981.98m</w:t>
            </w:r>
            <w:r>
              <w:rPr>
                <w:rStyle w:val="7"/>
                <w:rFonts w:hint="eastAsia" w:ascii="仿宋_GB2312" w:hAnsi="仿宋" w:eastAsia="仿宋_GB2312" w:cs="Times New Roman"/>
                <w:b w:val="0"/>
                <w:i w:val="0"/>
                <w:caps w:val="0"/>
                <w:color w:val="000000"/>
                <w:spacing w:val="-6"/>
                <w:w w:val="100"/>
                <w:sz w:val="18"/>
                <w:szCs w:val="18"/>
                <w:vertAlign w:val="superscript"/>
                <w:lang w:val="en-US" w:eastAsia="zh-CN" w:bidi="ar-SA"/>
              </w:rPr>
              <w:t>2</w:t>
            </w:r>
            <w:r>
              <w:rPr>
                <w:rStyle w:val="7"/>
                <w:rFonts w:hint="eastAsia" w:ascii="仿宋_GB2312" w:hAnsi="仿宋" w:eastAsia="仿宋_GB2312" w:cs="Times New Roman"/>
                <w:b w:val="0"/>
                <w:i w:val="0"/>
                <w:caps w:val="0"/>
                <w:color w:val="000000"/>
                <w:spacing w:val="-6"/>
                <w:w w:val="100"/>
                <w:sz w:val="18"/>
                <w:szCs w:val="18"/>
                <w:lang w:val="en-US" w:eastAsia="zh-CN" w:bidi="ar-SA"/>
              </w:rPr>
              <w:t>（约合33亩），总建筑面积4825m</w:t>
            </w:r>
            <w:r>
              <w:rPr>
                <w:rStyle w:val="7"/>
                <w:rFonts w:hint="eastAsia" w:ascii="仿宋_GB2312" w:hAnsi="仿宋" w:eastAsia="仿宋_GB2312" w:cs="Times New Roman"/>
                <w:b w:val="0"/>
                <w:i w:val="0"/>
                <w:caps w:val="0"/>
                <w:color w:val="000000"/>
                <w:spacing w:val="-6"/>
                <w:w w:val="100"/>
                <w:sz w:val="18"/>
                <w:szCs w:val="18"/>
                <w:vertAlign w:val="superscript"/>
                <w:lang w:val="en-US" w:eastAsia="zh-CN" w:bidi="ar-SA"/>
              </w:rPr>
              <w:t>2</w:t>
            </w:r>
            <w:r>
              <w:rPr>
                <w:rStyle w:val="7"/>
                <w:rFonts w:hint="eastAsia" w:ascii="仿宋_GB2312" w:hAnsi="仿宋" w:eastAsia="仿宋_GB2312" w:cs="Times New Roman"/>
                <w:b w:val="0"/>
                <w:i w:val="0"/>
                <w:caps w:val="0"/>
                <w:color w:val="000000"/>
                <w:spacing w:val="-6"/>
                <w:w w:val="100"/>
                <w:sz w:val="18"/>
                <w:szCs w:val="18"/>
                <w:lang w:val="en-US" w:eastAsia="zh-CN" w:bidi="ar-SA"/>
              </w:rPr>
              <w:t>，包括悼念大厅面积2235m</w:t>
            </w:r>
            <w:r>
              <w:rPr>
                <w:rStyle w:val="7"/>
                <w:rFonts w:hint="eastAsia" w:ascii="仿宋_GB2312" w:hAnsi="仿宋" w:eastAsia="仿宋_GB2312" w:cs="Times New Roman"/>
                <w:b w:val="0"/>
                <w:i w:val="0"/>
                <w:caps w:val="0"/>
                <w:color w:val="000000"/>
                <w:spacing w:val="-6"/>
                <w:w w:val="100"/>
                <w:sz w:val="18"/>
                <w:szCs w:val="18"/>
                <w:vertAlign w:val="superscript"/>
                <w:lang w:val="en-US" w:eastAsia="zh-CN" w:bidi="ar-SA"/>
              </w:rPr>
              <w:t>2</w:t>
            </w:r>
            <w:r>
              <w:rPr>
                <w:rStyle w:val="7"/>
                <w:rFonts w:hint="eastAsia" w:ascii="仿宋_GB2312" w:hAnsi="仿宋" w:eastAsia="仿宋_GB2312" w:cs="Times New Roman"/>
                <w:b w:val="0"/>
                <w:i w:val="0"/>
                <w:caps w:val="0"/>
                <w:color w:val="000000"/>
                <w:spacing w:val="-6"/>
                <w:w w:val="100"/>
                <w:sz w:val="18"/>
                <w:szCs w:val="18"/>
                <w:lang w:val="en-US" w:eastAsia="zh-CN" w:bidi="ar-SA"/>
              </w:rPr>
              <w:t>，火化车间面积690m</w:t>
            </w:r>
            <w:r>
              <w:rPr>
                <w:rStyle w:val="7"/>
                <w:rFonts w:hint="eastAsia" w:ascii="仿宋_GB2312" w:hAnsi="仿宋" w:eastAsia="仿宋_GB2312" w:cs="Times New Roman"/>
                <w:b w:val="0"/>
                <w:i w:val="0"/>
                <w:caps w:val="0"/>
                <w:color w:val="000000"/>
                <w:spacing w:val="-6"/>
                <w:w w:val="100"/>
                <w:sz w:val="18"/>
                <w:szCs w:val="18"/>
                <w:vertAlign w:val="superscript"/>
                <w:lang w:val="en-US" w:eastAsia="zh-CN" w:bidi="ar-SA"/>
              </w:rPr>
              <w:t>2</w:t>
            </w:r>
            <w:r>
              <w:rPr>
                <w:rStyle w:val="7"/>
                <w:rFonts w:hint="eastAsia" w:ascii="仿宋_GB2312" w:hAnsi="仿宋" w:eastAsia="仿宋_GB2312" w:cs="Times New Roman"/>
                <w:b w:val="0"/>
                <w:i w:val="0"/>
                <w:caps w:val="0"/>
                <w:color w:val="000000"/>
                <w:spacing w:val="-6"/>
                <w:w w:val="100"/>
                <w:sz w:val="18"/>
                <w:szCs w:val="18"/>
                <w:lang w:val="en-US" w:eastAsia="zh-CN" w:bidi="ar-SA"/>
              </w:rPr>
              <w:t>，遗体处理中心面积845m</w:t>
            </w:r>
            <w:r>
              <w:rPr>
                <w:rStyle w:val="7"/>
                <w:rFonts w:hint="eastAsia" w:ascii="仿宋_GB2312" w:hAnsi="仿宋" w:eastAsia="仿宋_GB2312" w:cs="Times New Roman"/>
                <w:b w:val="0"/>
                <w:i w:val="0"/>
                <w:caps w:val="0"/>
                <w:color w:val="000000"/>
                <w:spacing w:val="-6"/>
                <w:w w:val="100"/>
                <w:sz w:val="18"/>
                <w:szCs w:val="18"/>
                <w:vertAlign w:val="superscript"/>
                <w:lang w:val="en-US" w:eastAsia="zh-CN" w:bidi="ar-SA"/>
              </w:rPr>
              <w:t>2</w:t>
            </w:r>
            <w:r>
              <w:rPr>
                <w:rStyle w:val="7"/>
                <w:rFonts w:hint="eastAsia" w:ascii="仿宋_GB2312" w:hAnsi="仿宋" w:eastAsia="仿宋_GB2312" w:cs="Times New Roman"/>
                <w:b w:val="0"/>
                <w:i w:val="0"/>
                <w:caps w:val="0"/>
                <w:color w:val="000000"/>
                <w:spacing w:val="-6"/>
                <w:w w:val="100"/>
                <w:sz w:val="18"/>
                <w:szCs w:val="18"/>
                <w:lang w:val="en-US" w:eastAsia="zh-CN" w:bidi="ar-SA"/>
              </w:rPr>
              <w:t>，办公楼建建筑面积443m</w:t>
            </w:r>
            <w:r>
              <w:rPr>
                <w:rStyle w:val="7"/>
                <w:rFonts w:hint="eastAsia" w:ascii="仿宋_GB2312" w:hAnsi="仿宋" w:eastAsia="仿宋_GB2312" w:cs="Times New Roman"/>
                <w:b w:val="0"/>
                <w:i w:val="0"/>
                <w:caps w:val="0"/>
                <w:color w:val="000000"/>
                <w:spacing w:val="-6"/>
                <w:w w:val="100"/>
                <w:sz w:val="18"/>
                <w:szCs w:val="18"/>
                <w:vertAlign w:val="superscript"/>
                <w:lang w:val="en-US" w:eastAsia="zh-CN" w:bidi="ar-SA"/>
              </w:rPr>
              <w:t>2</w:t>
            </w:r>
            <w:r>
              <w:rPr>
                <w:rStyle w:val="7"/>
                <w:rFonts w:hint="eastAsia" w:ascii="仿宋_GB2312" w:hAnsi="仿宋" w:eastAsia="仿宋_GB2312" w:cs="Times New Roman"/>
                <w:b w:val="0"/>
                <w:i w:val="0"/>
                <w:caps w:val="0"/>
                <w:color w:val="000000"/>
                <w:spacing w:val="-6"/>
                <w:w w:val="100"/>
                <w:sz w:val="18"/>
                <w:szCs w:val="18"/>
                <w:lang w:val="en-US" w:eastAsia="zh-CN" w:bidi="ar-SA"/>
              </w:rPr>
              <w:t>，大门面积50m</w:t>
            </w:r>
            <w:r>
              <w:rPr>
                <w:rStyle w:val="7"/>
                <w:rFonts w:hint="eastAsia" w:ascii="仿宋_GB2312" w:hAnsi="仿宋" w:eastAsia="仿宋_GB2312" w:cs="Times New Roman"/>
                <w:b w:val="0"/>
                <w:i w:val="0"/>
                <w:caps w:val="0"/>
                <w:color w:val="000000"/>
                <w:spacing w:val="-6"/>
                <w:w w:val="100"/>
                <w:sz w:val="18"/>
                <w:szCs w:val="18"/>
                <w:vertAlign w:val="superscript"/>
                <w:lang w:val="en-US" w:eastAsia="zh-CN" w:bidi="ar-SA"/>
              </w:rPr>
              <w:t>2</w:t>
            </w:r>
            <w:r>
              <w:rPr>
                <w:rStyle w:val="7"/>
                <w:rFonts w:hint="eastAsia" w:ascii="仿宋_GB2312" w:hAnsi="仿宋" w:eastAsia="仿宋_GB2312" w:cs="Times New Roman"/>
                <w:b w:val="0"/>
                <w:i w:val="0"/>
                <w:caps w:val="0"/>
                <w:color w:val="000000"/>
                <w:spacing w:val="-6"/>
                <w:w w:val="100"/>
                <w:sz w:val="18"/>
                <w:szCs w:val="18"/>
                <w:lang w:val="en-US" w:eastAsia="zh-CN" w:bidi="ar-SA"/>
              </w:rPr>
              <w:t>，骨灰塔建筑面积562m</w:t>
            </w:r>
            <w:r>
              <w:rPr>
                <w:rStyle w:val="7"/>
                <w:rFonts w:hint="eastAsia" w:ascii="仿宋_GB2312" w:hAnsi="仿宋" w:eastAsia="仿宋_GB2312" w:cs="Times New Roman"/>
                <w:b w:val="0"/>
                <w:i w:val="0"/>
                <w:caps w:val="0"/>
                <w:color w:val="000000"/>
                <w:spacing w:val="-6"/>
                <w:w w:val="100"/>
                <w:sz w:val="18"/>
                <w:szCs w:val="18"/>
                <w:vertAlign w:val="superscript"/>
                <w:lang w:val="en-US" w:eastAsia="zh-CN" w:bidi="ar-SA"/>
              </w:rPr>
              <w:t>2</w:t>
            </w:r>
            <w:r>
              <w:rPr>
                <w:rStyle w:val="7"/>
                <w:rFonts w:hint="eastAsia" w:ascii="仿宋_GB2312" w:hAnsi="仿宋" w:eastAsia="仿宋_GB2312" w:cs="Times New Roman"/>
                <w:b w:val="0"/>
                <w:i w:val="0"/>
                <w:caps w:val="0"/>
                <w:color w:val="000000"/>
                <w:spacing w:val="-6"/>
                <w:w w:val="100"/>
                <w:sz w:val="18"/>
                <w:szCs w:val="18"/>
                <w:lang w:val="en-US" w:eastAsia="zh-CN" w:bidi="ar-SA"/>
              </w:rPr>
              <w:t>，配备环保型遗物祭品焚烧炉1台，火化炉2台，殡仪车2辆及其他配套相关设施。项目拟设置2台燃油火化机，年最大服务能力为火化2830具遗体。</w:t>
            </w:r>
            <w:r>
              <w:rPr>
                <w:rStyle w:val="7"/>
                <w:rFonts w:ascii="仿宋_GB2312" w:hAnsi="仿宋" w:eastAsia="仿宋_GB2312"/>
                <w:b w:val="0"/>
                <w:i w:val="0"/>
                <w:caps w:val="0"/>
                <w:color w:val="auto"/>
                <w:spacing w:val="-6"/>
                <w:w w:val="100"/>
                <w:sz w:val="18"/>
                <w:szCs w:val="18"/>
                <w:lang w:val="en-US" w:eastAsia="zh-CN" w:bidi="ar-SA"/>
              </w:rPr>
              <w:t>项目总投资为</w:t>
            </w:r>
            <w:r>
              <w:rPr>
                <w:rStyle w:val="7"/>
                <w:rFonts w:hint="eastAsia" w:ascii="仿宋_GB2312" w:hAnsi="仿宋" w:eastAsia="仿宋_GB2312"/>
                <w:b w:val="0"/>
                <w:i w:val="0"/>
                <w:caps w:val="0"/>
                <w:color w:val="auto"/>
                <w:spacing w:val="-6"/>
                <w:w w:val="100"/>
                <w:sz w:val="18"/>
                <w:szCs w:val="18"/>
                <w:lang w:val="en-US" w:eastAsia="zh-CN" w:bidi="ar-SA"/>
              </w:rPr>
              <w:t>4171.3</w:t>
            </w:r>
            <w:r>
              <w:rPr>
                <w:rStyle w:val="7"/>
                <w:rFonts w:ascii="仿宋_GB2312" w:hAnsi="仿宋" w:eastAsia="仿宋_GB2312"/>
                <w:b w:val="0"/>
                <w:i w:val="0"/>
                <w:caps w:val="0"/>
                <w:color w:val="auto"/>
                <w:spacing w:val="-6"/>
                <w:w w:val="100"/>
                <w:sz w:val="18"/>
                <w:szCs w:val="18"/>
                <w:lang w:val="en-US" w:eastAsia="zh-CN" w:bidi="ar-SA"/>
              </w:rPr>
              <w:t>万元，环保投资</w:t>
            </w:r>
            <w:r>
              <w:rPr>
                <w:rStyle w:val="7"/>
                <w:rFonts w:hint="eastAsia" w:ascii="仿宋_GB2312" w:hAnsi="仿宋" w:eastAsia="仿宋_GB2312"/>
                <w:b w:val="0"/>
                <w:i w:val="0"/>
                <w:caps w:val="0"/>
                <w:color w:val="auto"/>
                <w:spacing w:val="-6"/>
                <w:w w:val="100"/>
                <w:sz w:val="18"/>
                <w:szCs w:val="18"/>
                <w:lang w:val="en-US" w:eastAsia="zh-CN" w:bidi="ar-SA"/>
              </w:rPr>
              <w:t>135</w:t>
            </w:r>
            <w:r>
              <w:rPr>
                <w:rStyle w:val="7"/>
                <w:rFonts w:ascii="仿宋_GB2312" w:hAnsi="仿宋" w:eastAsia="仿宋_GB2312"/>
                <w:b w:val="0"/>
                <w:i w:val="0"/>
                <w:caps w:val="0"/>
                <w:color w:val="auto"/>
                <w:spacing w:val="-6"/>
                <w:w w:val="100"/>
                <w:sz w:val="18"/>
                <w:szCs w:val="18"/>
                <w:lang w:val="en-US" w:eastAsia="zh-CN" w:bidi="ar-SA"/>
              </w:rPr>
              <w:t>万元，占总投资比例的</w:t>
            </w:r>
            <w:r>
              <w:rPr>
                <w:rStyle w:val="7"/>
                <w:rFonts w:hint="eastAsia" w:ascii="仿宋_GB2312" w:hAnsi="仿宋" w:eastAsia="仿宋_GB2312"/>
                <w:b w:val="0"/>
                <w:i w:val="0"/>
                <w:caps w:val="0"/>
                <w:color w:val="auto"/>
                <w:spacing w:val="-6"/>
                <w:w w:val="100"/>
                <w:sz w:val="18"/>
                <w:szCs w:val="18"/>
                <w:lang w:val="en-US" w:eastAsia="zh-CN" w:bidi="ar-SA"/>
              </w:rPr>
              <w:t>3.24%</w:t>
            </w:r>
            <w:r>
              <w:rPr>
                <w:rStyle w:val="7"/>
                <w:rFonts w:ascii="仿宋_GB2312" w:hAnsi="仿宋" w:eastAsia="仿宋_GB2312"/>
                <w:b w:val="0"/>
                <w:i w:val="0"/>
                <w:caps w:val="0"/>
                <w:color w:val="auto"/>
                <w:spacing w:val="-6"/>
                <w:w w:val="100"/>
                <w:sz w:val="18"/>
                <w:szCs w:val="18"/>
                <w:lang w:val="en-US" w:eastAsia="zh-CN" w:bidi="ar-SA"/>
              </w:rPr>
              <w:t>。</w:t>
            </w:r>
          </w:p>
        </w:tc>
        <w:tc>
          <w:tcPr>
            <w:tcW w:w="3733"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8D88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18"/>
                <w:szCs w:val="18"/>
              </w:rPr>
              <w:t>环境影响及对措施:</w:t>
            </w:r>
          </w:p>
          <w:p w14:paraId="0A1E1F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1、认真做好施工期环境保护工作，施工过程严格落实“六个百分之百”，加强废水、噪声、固体废物环境管理，落实《报告表》提出的各项污染防治及生态保护措施，降低对周边的影响。</w:t>
            </w:r>
          </w:p>
          <w:p w14:paraId="205E6995">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firstLine="316" w:firstLineChars="200"/>
              <w:jc w:val="both"/>
              <w:textAlignment w:val="baseline"/>
              <w:rPr>
                <w:rStyle w:val="7"/>
                <w:rFonts w:ascii="仿宋_GB2312" w:hAnsi="仿宋_GB2312" w:eastAsia="仿宋_GB2312"/>
                <w:b w:val="0"/>
                <w:i w:val="0"/>
                <w:caps w:val="0"/>
                <w:color w:val="0000FF"/>
                <w:spacing w:val="-11"/>
                <w:w w:val="100"/>
                <w:kern w:val="2"/>
                <w:sz w:val="18"/>
                <w:szCs w:val="18"/>
                <w:lang w:val="en-US" w:eastAsia="zh-CN" w:bidi="ar-SA"/>
              </w:rPr>
            </w:pPr>
            <w:r>
              <w:rPr>
                <w:rStyle w:val="7"/>
                <w:rFonts w:ascii="仿宋_GB2312" w:hAnsi="仿宋_GB2312" w:eastAsia="仿宋_GB2312"/>
                <w:b w:val="0"/>
                <w:i w:val="0"/>
                <w:caps w:val="0"/>
                <w:color w:val="000000"/>
                <w:spacing w:val="-11"/>
                <w:w w:val="100"/>
                <w:kern w:val="2"/>
                <w:sz w:val="18"/>
                <w:szCs w:val="18"/>
                <w:lang w:val="en-US" w:eastAsia="zh-CN" w:bidi="ar-SA"/>
              </w:rPr>
              <w:t>2、废气污染防治措施。运营期</w:t>
            </w:r>
            <w:r>
              <w:rPr>
                <w:rStyle w:val="7"/>
                <w:rFonts w:hint="eastAsia" w:ascii="仿宋_GB2312" w:hAnsi="仿宋_GB2312" w:eastAsia="仿宋_GB2312"/>
                <w:b w:val="0"/>
                <w:i w:val="0"/>
                <w:caps w:val="0"/>
                <w:color w:val="000000"/>
                <w:spacing w:val="-11"/>
                <w:w w:val="100"/>
                <w:kern w:val="2"/>
                <w:sz w:val="18"/>
                <w:szCs w:val="18"/>
                <w:lang w:val="en-US" w:eastAsia="zh-CN" w:bidi="ar-SA"/>
              </w:rPr>
              <w:t>2台节能环保火化炉分别单独配置一套废气处理设施+1根15m高排气筒，共2套废气处理设施，2根排气筒，烟气处理设施采用“急冷装置+半干法脱硫+活性炭喷射+布袋除尘器+活性炭吸附”</w:t>
            </w:r>
            <w:bookmarkStart w:id="0" w:name="_GoBack"/>
            <w:bookmarkEnd w:id="0"/>
            <w:r>
              <w:rPr>
                <w:rStyle w:val="7"/>
                <w:rFonts w:hint="eastAsia" w:ascii="仿宋_GB2312" w:hAnsi="仿宋_GB2312" w:eastAsia="仿宋_GB2312"/>
                <w:b w:val="0"/>
                <w:i w:val="0"/>
                <w:caps w:val="0"/>
                <w:color w:val="000000"/>
                <w:spacing w:val="-11"/>
                <w:w w:val="100"/>
                <w:kern w:val="2"/>
                <w:sz w:val="18"/>
                <w:szCs w:val="18"/>
                <w:lang w:val="en-US" w:eastAsia="zh-CN" w:bidi="ar-SA"/>
              </w:rPr>
              <w:t>组合方案；遗物祭品焚烧炉单独配置1套废气处理设施+1根15m高排气筒，尾气处理设施采取“急冷装置+半干法脱硫+活性炭喷射+布袋除尘器+活性炭吸附”组合方案。餐厅油烟在食堂灶台上方设置油烟集气罩，废气经过专用烟道经屋顶油烟净化装置处理后排空；备用发电机，正常运营情况下基本不会启用，产生的少量发电机烟气经自带烟气净化装置处理后经专用排烟风井引至屋顶排放。污水处理站及生活垃圾产生的恶臭，采用地埋式一体化污水处理设备为全过程封闭式的污水处理工艺，有效抑制了污水恶臭向外环境的散发，恶臭逸出量少。运营期遗体火化的废气排放执行《火葬场大气污染物排放标准》（GB13801-2015）中表2新建单位遗体火化大气污染物排放限值；遗物、祭品焚烧废气排放执行《火葬场大气污染物排放标准》（GB13801-2015）中表3遗物祭品焚烧大气污染物排放限值。遗体火化过程中可能会排放异味，厂界恶臭执行《恶臭污染物排放标准》（GB14554-93）中表1标准限值恶臭污染物厂界标准值；餐厅厨房油烟废气执行GB18483－2001《饮食业油烟排放标准(试行)》小型类标准。</w:t>
            </w:r>
          </w:p>
          <w:p w14:paraId="3CB19EF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316" w:firstLineChars="200"/>
              <w:jc w:val="both"/>
              <w:textAlignment w:val="baseline"/>
              <w:rPr>
                <w:rStyle w:val="7"/>
                <w:rFonts w:ascii="仿宋_GB2312" w:hAnsi="仿宋_GB2312" w:eastAsia="仿宋_GB2312"/>
                <w:b w:val="0"/>
                <w:i w:val="0"/>
                <w:caps w:val="0"/>
                <w:color w:val="000000"/>
                <w:spacing w:val="-11"/>
                <w:w w:val="100"/>
                <w:kern w:val="2"/>
                <w:sz w:val="18"/>
                <w:szCs w:val="18"/>
                <w:lang w:val="en-US" w:eastAsia="zh-CN" w:bidi="ar-SA"/>
              </w:rPr>
            </w:pPr>
            <w:r>
              <w:rPr>
                <w:rStyle w:val="7"/>
                <w:rFonts w:ascii="仿宋_GB2312" w:hAnsi="仿宋_GB2312" w:eastAsia="仿宋_GB2312"/>
                <w:b w:val="0"/>
                <w:i w:val="0"/>
                <w:caps w:val="0"/>
                <w:color w:val="000000"/>
                <w:spacing w:val="-11"/>
                <w:w w:val="100"/>
                <w:kern w:val="2"/>
                <w:sz w:val="18"/>
                <w:szCs w:val="18"/>
                <w:lang w:val="en-US" w:eastAsia="zh-CN" w:bidi="ar-SA"/>
              </w:rPr>
              <w:t>3、废水污染防治措施。</w:t>
            </w:r>
            <w:r>
              <w:rPr>
                <w:rStyle w:val="7"/>
                <w:rFonts w:hint="eastAsia" w:ascii="仿宋_GB2312" w:hAnsi="仿宋_GB2312" w:eastAsia="仿宋_GB2312"/>
                <w:b w:val="0"/>
                <w:i w:val="0"/>
                <w:caps w:val="0"/>
                <w:color w:val="000000"/>
                <w:spacing w:val="-11"/>
                <w:w w:val="100"/>
                <w:kern w:val="2"/>
                <w:sz w:val="18"/>
                <w:szCs w:val="18"/>
                <w:lang w:val="en-US" w:eastAsia="zh-CN" w:bidi="ar-SA"/>
              </w:rPr>
              <w:t>运营期遗体处置清洗、消毒废水、专用殡仪车辆清洗、消毒废水及来访人员及工作人员生活污水，经消毒池预处理后与其他生活污水一同进入自建污水处理站处理；非采暖期可用于道路浇洒及绿化浇灌，采暖期定期统一抽送至灵丘县生活污水处理厂。项目污水处理站出水参照执行《城市污水再生利用 城市杂用水水质》（GB/T18920-2020）中城市绿化用水水质标准。</w:t>
            </w:r>
          </w:p>
          <w:p w14:paraId="7DF05CD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0" w:leftChars="0" w:firstLine="640"/>
              <w:jc w:val="both"/>
              <w:textAlignment w:val="baseline"/>
              <w:rPr>
                <w:rStyle w:val="7"/>
                <w:rFonts w:ascii="仿宋_GB2312" w:hAnsi="仿宋_GB2312" w:eastAsia="仿宋_GB2312"/>
                <w:b w:val="0"/>
                <w:i w:val="0"/>
                <w:caps w:val="0"/>
                <w:color w:val="000000"/>
                <w:spacing w:val="-11"/>
                <w:w w:val="100"/>
                <w:kern w:val="2"/>
                <w:sz w:val="18"/>
                <w:szCs w:val="18"/>
                <w:lang w:val="en-US" w:eastAsia="zh-CN" w:bidi="ar-SA"/>
              </w:rPr>
            </w:pPr>
            <w:r>
              <w:rPr>
                <w:rStyle w:val="7"/>
                <w:rFonts w:ascii="仿宋_GB2312" w:hAnsi="仿宋_GB2312" w:eastAsia="仿宋_GB2312"/>
                <w:b w:val="0"/>
                <w:i w:val="0"/>
                <w:caps w:val="0"/>
                <w:color w:val="000000"/>
                <w:spacing w:val="-11"/>
                <w:w w:val="100"/>
                <w:kern w:val="2"/>
                <w:sz w:val="18"/>
                <w:szCs w:val="18"/>
                <w:lang w:val="en-US" w:eastAsia="zh-CN" w:bidi="ar-SA"/>
              </w:rPr>
              <w:t>4、噪声污染防治措施。</w:t>
            </w:r>
            <w:r>
              <w:rPr>
                <w:rStyle w:val="7"/>
                <w:rFonts w:hint="eastAsia" w:ascii="仿宋_GB2312" w:hAnsi="仿宋_GB2312" w:eastAsia="仿宋_GB2312"/>
                <w:b w:val="0"/>
                <w:i w:val="0"/>
                <w:caps w:val="0"/>
                <w:color w:val="000000"/>
                <w:spacing w:val="-11"/>
                <w:w w:val="100"/>
                <w:kern w:val="2"/>
                <w:sz w:val="18"/>
                <w:szCs w:val="18"/>
                <w:lang w:val="en-US" w:eastAsia="zh-CN" w:bidi="ar-SA"/>
              </w:rPr>
              <w:t>运营期设备噪声，悼念活动噪声，要选用低噪声设备，隔声、基础减振，定期维护，加强管理等措施减少对周围环境的噪声污染。项目运营期执行《工业企业厂界环境噪声排放标准》（GB12348-2008）1类标准。</w:t>
            </w:r>
          </w:p>
          <w:p w14:paraId="6E16D3E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0" w:leftChars="0" w:firstLine="640"/>
              <w:jc w:val="both"/>
              <w:textAlignment w:val="baseline"/>
              <w:rPr>
                <w:rStyle w:val="7"/>
                <w:rFonts w:ascii="仿宋_GB2312" w:hAnsi="仿宋_GB2312" w:eastAsia="仿宋_GB2312"/>
                <w:b w:val="0"/>
                <w:i w:val="0"/>
                <w:caps w:val="0"/>
                <w:color w:val="auto"/>
                <w:spacing w:val="-11"/>
                <w:w w:val="100"/>
                <w:kern w:val="2"/>
                <w:sz w:val="18"/>
                <w:szCs w:val="18"/>
                <w:lang w:val="en-US" w:eastAsia="zh-CN" w:bidi="ar-SA"/>
              </w:rPr>
            </w:pPr>
            <w:r>
              <w:rPr>
                <w:rStyle w:val="7"/>
                <w:rFonts w:ascii="仿宋_GB2312" w:hAnsi="仿宋_GB2312" w:eastAsia="仿宋_GB2312"/>
                <w:b w:val="0"/>
                <w:i w:val="0"/>
                <w:caps w:val="0"/>
                <w:color w:val="000000"/>
                <w:spacing w:val="-11"/>
                <w:w w:val="100"/>
                <w:kern w:val="2"/>
                <w:sz w:val="18"/>
                <w:szCs w:val="18"/>
                <w:lang w:val="en-US" w:eastAsia="zh-CN" w:bidi="ar-SA"/>
              </w:rPr>
              <w:t>5、固体废物污染防治措施。运营期</w:t>
            </w:r>
            <w:r>
              <w:rPr>
                <w:rStyle w:val="7"/>
                <w:rFonts w:hint="eastAsia" w:ascii="仿宋_GB2312" w:hAnsi="仿宋_GB2312" w:eastAsia="仿宋_GB2312"/>
                <w:b w:val="0"/>
                <w:i w:val="0"/>
                <w:caps w:val="0"/>
                <w:color w:val="000000"/>
                <w:spacing w:val="-11"/>
                <w:w w:val="100"/>
                <w:kern w:val="2"/>
                <w:sz w:val="18"/>
                <w:szCs w:val="18"/>
                <w:lang w:val="en-US" w:eastAsia="zh-CN" w:bidi="ar-SA"/>
              </w:rPr>
              <w:t>厂区内设置垃圾筒，垃圾经收集后运至环卫部门指定的地点统一处理。遗体火化产生的骨灰在进行挑捡后由各逝者家属装进骨灰盒带走，葬入墓地或寄存于骨灰寄存楼。火化炉遗留的灰渣、遗物祭品焚烧灰渣、采用消石灰干化后生活污水处理站污泥收集后与生活垃圾一起运至环卫部门指定的地点统一处理；项目捕集灰、废脱硫粉、废活性炭贮存于特定容器中，临时贮存于危废贮存点，委托有相关处理资质的单位定期处置。捕集灰要严格按照《殡仪馆捕集灰处理技术要求（MZ/T229-2024）》中对捕集灰收集、内部转运、贮存、运输过程进行管理。同时危险废物要严格按照《危险废物贮存污染控制标准》（GB18597-2023）中规定对危险废物贮存和管理。</w:t>
            </w:r>
          </w:p>
          <w:p w14:paraId="140DC5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jc w:val="both"/>
              <w:rPr>
                <w:rFonts w:hint="default" w:ascii="Times New Roman" w:hAnsi="Times New Roman" w:cs="Times New Roman"/>
                <w:color w:val="auto"/>
                <w:sz w:val="21"/>
                <w:szCs w:val="21"/>
              </w:rPr>
            </w:pPr>
            <w:r>
              <w:rPr>
                <w:rStyle w:val="7"/>
                <w:rFonts w:ascii="仿宋_GB2312" w:hAnsi="仿宋_GB2312" w:eastAsia="仿宋_GB2312"/>
                <w:b w:val="0"/>
                <w:i w:val="0"/>
                <w:caps w:val="0"/>
                <w:spacing w:val="-11"/>
                <w:w w:val="100"/>
                <w:kern w:val="2"/>
                <w:sz w:val="18"/>
                <w:szCs w:val="18"/>
                <w:lang w:val="en-US" w:eastAsia="zh-CN" w:bidi="ar-SA"/>
              </w:rPr>
              <w:t>6、加强</w:t>
            </w:r>
            <w:r>
              <w:rPr>
                <w:rStyle w:val="7"/>
                <w:rFonts w:hint="eastAsia" w:ascii="仿宋_GB2312" w:hAnsi="仿宋_GB2312" w:eastAsia="仿宋_GB2312"/>
                <w:b w:val="0"/>
                <w:i w:val="0"/>
                <w:caps w:val="0"/>
                <w:spacing w:val="-11"/>
                <w:w w:val="100"/>
                <w:kern w:val="2"/>
                <w:sz w:val="18"/>
                <w:szCs w:val="18"/>
                <w:lang w:val="en-US" w:eastAsia="zh-CN" w:bidi="ar-SA"/>
              </w:rPr>
              <w:t>厂区</w:t>
            </w:r>
            <w:r>
              <w:rPr>
                <w:rStyle w:val="7"/>
                <w:rFonts w:ascii="仿宋_GB2312" w:hAnsi="仿宋_GB2312" w:eastAsia="仿宋_GB2312"/>
                <w:b w:val="0"/>
                <w:i w:val="0"/>
                <w:caps w:val="0"/>
                <w:spacing w:val="-11"/>
                <w:w w:val="100"/>
                <w:kern w:val="2"/>
                <w:sz w:val="18"/>
                <w:szCs w:val="18"/>
                <w:lang w:val="en-US" w:eastAsia="zh-CN" w:bidi="ar-SA"/>
              </w:rPr>
              <w:t>绿化美化工作，改善周边生态环境。</w:t>
            </w:r>
          </w:p>
        </w:tc>
      </w:tr>
    </w:tbl>
    <w:p w14:paraId="7BEC29E3"/>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5FE433A2"/>
    <w:rsid w:val="03833AA9"/>
    <w:rsid w:val="03D23F52"/>
    <w:rsid w:val="045035B4"/>
    <w:rsid w:val="05FA11DC"/>
    <w:rsid w:val="078912CC"/>
    <w:rsid w:val="0DDE3C53"/>
    <w:rsid w:val="0EBF04AD"/>
    <w:rsid w:val="12644A4B"/>
    <w:rsid w:val="14266074"/>
    <w:rsid w:val="1812650C"/>
    <w:rsid w:val="1AC41ACD"/>
    <w:rsid w:val="1B4B414F"/>
    <w:rsid w:val="1FAF1210"/>
    <w:rsid w:val="21A92AF2"/>
    <w:rsid w:val="21AB6F3F"/>
    <w:rsid w:val="23E758DA"/>
    <w:rsid w:val="244D6E6A"/>
    <w:rsid w:val="28D43EB5"/>
    <w:rsid w:val="2AB91F8E"/>
    <w:rsid w:val="2D4557E2"/>
    <w:rsid w:val="2DB141CE"/>
    <w:rsid w:val="2DDE5FD1"/>
    <w:rsid w:val="33680AB7"/>
    <w:rsid w:val="3C1A0739"/>
    <w:rsid w:val="3C303E6B"/>
    <w:rsid w:val="431117AE"/>
    <w:rsid w:val="47DF6CF3"/>
    <w:rsid w:val="4B447E66"/>
    <w:rsid w:val="4F672375"/>
    <w:rsid w:val="53E00384"/>
    <w:rsid w:val="5F6D17A6"/>
    <w:rsid w:val="5FE433A2"/>
    <w:rsid w:val="634D5EED"/>
    <w:rsid w:val="64E1569E"/>
    <w:rsid w:val="65A930E7"/>
    <w:rsid w:val="66326BE9"/>
    <w:rsid w:val="6D867E8A"/>
    <w:rsid w:val="6FDE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
    <w:name w:val="NormalCharacter"/>
    <w:qFormat/>
    <w:uiPriority w:val="0"/>
    <w:rPr>
      <w:kern w:val="2"/>
      <w:sz w:val="21"/>
      <w:lang w:val="en-US" w:eastAsia="zh-CN" w:bidi="ar-SA"/>
    </w:rPr>
  </w:style>
  <w:style w:type="paragraph" w:customStyle="1" w:styleId="8">
    <w:name w:val="UserStyle_17"/>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1786</Words>
  <Characters>1969</Characters>
  <Lines>0</Lines>
  <Paragraphs>0</Paragraphs>
  <TotalTime>5</TotalTime>
  <ScaleCrop>false</ScaleCrop>
  <LinksUpToDate>false</LinksUpToDate>
  <CharactersWithSpaces>1977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2020-05-11T03:05:00Z</dcterms:created>
  <dc:creator>丽纱</dc:creator>
  <cp:lastModifiedBy>丽纱</cp:lastModifiedBy>
  <dcterms:modified xsi:type="dcterms:W3CDTF">2024-11-26T07:38:58Z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B24F4795115945519029023BE6FB5F6E</vt:lpwstr>
  </property>
</Properties>
</file>