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04E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FF0000"/>
          <w:spacing w:val="68"/>
          <w:sz w:val="52"/>
          <w:szCs w:val="52"/>
          <w:u w:val="single"/>
          <w:lang w:val="en-US" w:eastAsia="zh-CN"/>
        </w:rPr>
      </w:pPr>
      <w:r>
        <w:rPr>
          <w:rFonts w:hint="eastAsia" w:ascii="方正小标宋简体" w:hAnsi="方正小标宋简体" w:eastAsia="方正小标宋简体" w:cs="方正小标宋简体"/>
          <w:color w:val="FF0000"/>
          <w:spacing w:val="68"/>
          <w:sz w:val="52"/>
          <w:szCs w:val="52"/>
          <w:u w:val="single"/>
          <w:lang w:val="en-US" w:eastAsia="zh-CN"/>
        </w:rPr>
        <w:t xml:space="preserve"> </w:t>
      </w:r>
      <w:r>
        <w:rPr>
          <w:rFonts w:hint="eastAsia" w:ascii="方正小标宋简体" w:hAnsi="方正小标宋简体" w:eastAsia="方正小标宋简体" w:cs="方正小标宋简体"/>
          <w:color w:val="FF0000"/>
          <w:spacing w:val="68"/>
          <w:sz w:val="52"/>
          <w:szCs w:val="52"/>
          <w:u w:val="single"/>
          <w:lang w:eastAsia="zh-CN"/>
        </w:rPr>
        <w:t>大同市生态环境局灵丘分局</w:t>
      </w:r>
      <w:r>
        <w:rPr>
          <w:rFonts w:hint="eastAsia" w:ascii="方正小标宋简体" w:hAnsi="方正小标宋简体" w:eastAsia="方正小标宋简体" w:cs="方正小标宋简体"/>
          <w:color w:val="FF0000"/>
          <w:spacing w:val="68"/>
          <w:sz w:val="52"/>
          <w:szCs w:val="52"/>
          <w:u w:val="single"/>
          <w:lang w:val="en-US" w:eastAsia="zh-CN"/>
        </w:rPr>
        <w:t xml:space="preserve"> </w:t>
      </w:r>
    </w:p>
    <w:p w14:paraId="1D3DB826">
      <w:pPr>
        <w:wordWrap w:val="0"/>
        <w:spacing w:line="600" w:lineRule="exact"/>
        <w:jc w:val="right"/>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eastAsia="zh-CN"/>
        </w:rPr>
        <w:t>灵环函〔</w:t>
      </w:r>
      <w:r>
        <w:rPr>
          <w:rFonts w:hint="eastAsia" w:ascii="仿宋" w:hAnsi="仿宋" w:eastAsia="仿宋" w:cs="仿宋"/>
          <w:spacing w:val="-11"/>
          <w:sz w:val="32"/>
          <w:szCs w:val="32"/>
          <w:lang w:val="en-US" w:eastAsia="zh-CN"/>
        </w:rPr>
        <w:t>2024〕15号</w:t>
      </w:r>
    </w:p>
    <w:p w14:paraId="279015E8">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仿宋" w:hAnsi="仿宋" w:eastAsia="仿宋" w:cs="仿宋"/>
          <w:spacing w:val="-11"/>
          <w:sz w:val="21"/>
          <w:szCs w:val="21"/>
          <w:lang w:val="en-US" w:eastAsia="zh-CN"/>
        </w:rPr>
      </w:pPr>
    </w:p>
    <w:p w14:paraId="4ACFEACA">
      <w:pPr>
        <w:snapToGrid/>
        <w:spacing w:before="0" w:beforeAutospacing="0" w:after="0" w:afterAutospacing="0" w:line="600" w:lineRule="exact"/>
        <w:jc w:val="center"/>
        <w:textAlignment w:val="baseline"/>
        <w:rPr>
          <w:rStyle w:val="10"/>
          <w:rFonts w:hint="eastAsia" w:ascii="方正小标宋简体" w:hAnsi="方正小标宋简体" w:eastAsia="方正小标宋简体"/>
          <w:b w:val="0"/>
          <w:i w:val="0"/>
          <w:caps w:val="0"/>
          <w:spacing w:val="-11"/>
          <w:w w:val="100"/>
          <w:kern w:val="2"/>
          <w:sz w:val="44"/>
          <w:szCs w:val="44"/>
          <w:lang w:val="en-US" w:eastAsia="zh-CN" w:bidi="ar-SA"/>
        </w:rPr>
      </w:pPr>
      <w:r>
        <w:rPr>
          <w:rStyle w:val="10"/>
          <w:rFonts w:ascii="方正小标宋简体" w:hAnsi="方正小标宋简体" w:eastAsia="方正小标宋简体"/>
          <w:b w:val="0"/>
          <w:i w:val="0"/>
          <w:caps w:val="0"/>
          <w:spacing w:val="-11"/>
          <w:w w:val="100"/>
          <w:kern w:val="2"/>
          <w:sz w:val="44"/>
          <w:szCs w:val="44"/>
          <w:lang w:val="en-US" w:eastAsia="zh-CN" w:bidi="ar-SA"/>
        </w:rPr>
        <w:t>关于</w:t>
      </w:r>
      <w:r>
        <w:rPr>
          <w:rStyle w:val="10"/>
          <w:rFonts w:hint="eastAsia" w:ascii="方正小标宋简体" w:hAnsi="方正小标宋简体" w:eastAsia="方正小标宋简体"/>
          <w:b w:val="0"/>
          <w:i w:val="0"/>
          <w:caps w:val="0"/>
          <w:spacing w:val="-11"/>
          <w:w w:val="100"/>
          <w:kern w:val="2"/>
          <w:sz w:val="44"/>
          <w:szCs w:val="44"/>
          <w:lang w:val="en-US" w:eastAsia="zh-CN" w:bidi="ar-SA"/>
        </w:rPr>
        <w:t>灵丘县万邦新材料有限公司</w:t>
      </w:r>
    </w:p>
    <w:p w14:paraId="70D4B87C">
      <w:pPr>
        <w:snapToGrid/>
        <w:spacing w:before="0" w:beforeAutospacing="0" w:after="0" w:afterAutospacing="0" w:line="600" w:lineRule="exact"/>
        <w:jc w:val="center"/>
        <w:textAlignment w:val="baseline"/>
        <w:rPr>
          <w:rStyle w:val="10"/>
          <w:rFonts w:hint="eastAsia" w:ascii="方正小标宋简体" w:hAnsi="方正小标宋简体" w:eastAsia="方正小标宋简体"/>
          <w:b w:val="0"/>
          <w:i w:val="0"/>
          <w:caps w:val="0"/>
          <w:spacing w:val="-11"/>
          <w:w w:val="100"/>
          <w:kern w:val="2"/>
          <w:sz w:val="44"/>
          <w:szCs w:val="44"/>
          <w:lang w:val="en-US" w:eastAsia="zh-CN" w:bidi="ar-SA"/>
        </w:rPr>
      </w:pPr>
      <w:r>
        <w:rPr>
          <w:rStyle w:val="10"/>
          <w:rFonts w:hint="eastAsia" w:ascii="方正小标宋简体" w:hAnsi="方正小标宋简体" w:eastAsia="方正小标宋简体"/>
          <w:b w:val="0"/>
          <w:i w:val="0"/>
          <w:caps w:val="0"/>
          <w:spacing w:val="-11"/>
          <w:w w:val="100"/>
          <w:kern w:val="2"/>
          <w:sz w:val="44"/>
          <w:szCs w:val="44"/>
          <w:lang w:val="en-US" w:eastAsia="zh-CN" w:bidi="ar-SA"/>
        </w:rPr>
        <w:t>新型陶瓷耐火复合材料加工项目</w:t>
      </w:r>
    </w:p>
    <w:p w14:paraId="62776AB0">
      <w:pPr>
        <w:snapToGrid/>
        <w:spacing w:before="0" w:beforeAutospacing="0" w:after="0" w:afterAutospacing="0" w:line="600" w:lineRule="exact"/>
        <w:jc w:val="center"/>
        <w:textAlignment w:val="baseline"/>
        <w:rPr>
          <w:rStyle w:val="10"/>
          <w:rFonts w:ascii="方正小标宋简体" w:hAnsi="方正小标宋简体" w:eastAsia="方正小标宋简体"/>
          <w:b w:val="0"/>
          <w:i w:val="0"/>
          <w:caps w:val="0"/>
          <w:spacing w:val="-11"/>
          <w:w w:val="100"/>
          <w:kern w:val="2"/>
          <w:sz w:val="44"/>
          <w:szCs w:val="44"/>
          <w:lang w:val="en-US" w:eastAsia="zh-CN" w:bidi="ar-SA"/>
        </w:rPr>
      </w:pPr>
      <w:r>
        <w:rPr>
          <w:rStyle w:val="10"/>
          <w:rFonts w:ascii="方正小标宋简体" w:hAnsi="方正小标宋简体" w:eastAsia="方正小标宋简体"/>
          <w:b w:val="0"/>
          <w:i w:val="0"/>
          <w:caps w:val="0"/>
          <w:spacing w:val="-11"/>
          <w:w w:val="100"/>
          <w:kern w:val="2"/>
          <w:sz w:val="44"/>
          <w:szCs w:val="44"/>
          <w:lang w:val="en-US" w:eastAsia="zh-CN" w:bidi="ar-SA"/>
        </w:rPr>
        <w:t>环境影响报告表的批复</w:t>
      </w:r>
    </w:p>
    <w:p w14:paraId="59FEF212">
      <w:pPr>
        <w:snapToGrid/>
        <w:spacing w:before="0" w:beforeAutospacing="0" w:after="0" w:afterAutospacing="0" w:line="240" w:lineRule="auto"/>
        <w:jc w:val="center"/>
        <w:textAlignment w:val="baseline"/>
        <w:rPr>
          <w:rStyle w:val="10"/>
          <w:rFonts w:ascii="仿宋_GB2312" w:hAnsi="仿宋_GB2312" w:eastAsia="仿宋_GB2312"/>
          <w:b w:val="0"/>
          <w:i w:val="0"/>
          <w:caps w:val="0"/>
          <w:spacing w:val="0"/>
          <w:w w:val="100"/>
          <w:kern w:val="2"/>
          <w:sz w:val="21"/>
          <w:szCs w:val="21"/>
          <w:lang w:val="en-US" w:eastAsia="zh-CN" w:bidi="ar-SA"/>
        </w:rPr>
      </w:pPr>
    </w:p>
    <w:p w14:paraId="3CC7043C">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hint="eastAsia" w:ascii="仿宋_GB2312" w:hAnsi="仿宋" w:eastAsia="仿宋_GB2312"/>
          <w:b w:val="0"/>
          <w:i w:val="0"/>
          <w:caps w:val="0"/>
          <w:spacing w:val="0"/>
          <w:w w:val="100"/>
          <w:kern w:val="2"/>
          <w:sz w:val="32"/>
          <w:szCs w:val="32"/>
          <w:lang w:val="en-US" w:eastAsia="zh-CN" w:bidi="ar-SA"/>
        </w:rPr>
        <w:t>灵丘县万邦新材料有限公司</w:t>
      </w:r>
      <w:r>
        <w:rPr>
          <w:rStyle w:val="10"/>
          <w:rFonts w:ascii="仿宋_GB2312" w:hAnsi="仿宋_GB2312" w:eastAsia="仿宋_GB2312"/>
          <w:b w:val="0"/>
          <w:i w:val="0"/>
          <w:caps w:val="0"/>
          <w:spacing w:val="0"/>
          <w:w w:val="100"/>
          <w:kern w:val="2"/>
          <w:sz w:val="32"/>
          <w:szCs w:val="32"/>
          <w:lang w:val="en-US" w:eastAsia="zh-CN" w:bidi="ar-SA"/>
        </w:rPr>
        <w:t>：</w:t>
      </w:r>
    </w:p>
    <w:p w14:paraId="10AA40A7">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ascii="仿宋_GB2312" w:hAnsi="仿宋" w:eastAsia="仿宋_GB2312"/>
          <w:b w:val="0"/>
          <w:i w:val="0"/>
          <w:caps w:val="0"/>
          <w:spacing w:val="0"/>
          <w:w w:val="100"/>
          <w:kern w:val="2"/>
          <w:sz w:val="32"/>
          <w:szCs w:val="32"/>
          <w:lang w:val="en-US" w:eastAsia="zh-CN" w:bidi="ar-SA"/>
        </w:rPr>
      </w:pPr>
      <w:r>
        <w:rPr>
          <w:rStyle w:val="10"/>
          <w:rFonts w:ascii="仿宋_GB2312" w:hAnsi="仿宋" w:eastAsia="仿宋_GB2312"/>
          <w:b w:val="0"/>
          <w:i w:val="0"/>
          <w:caps w:val="0"/>
          <w:spacing w:val="0"/>
          <w:w w:val="100"/>
          <w:kern w:val="2"/>
          <w:sz w:val="32"/>
          <w:szCs w:val="32"/>
          <w:lang w:val="en-US" w:eastAsia="zh-CN" w:bidi="ar-SA"/>
        </w:rPr>
        <w:t>你公司</w:t>
      </w:r>
      <w:r>
        <w:rPr>
          <w:rStyle w:val="10"/>
          <w:rFonts w:hint="eastAsia" w:ascii="仿宋_GB2312" w:hAnsi="仿宋" w:eastAsia="仿宋_GB2312"/>
          <w:b w:val="0"/>
          <w:i w:val="0"/>
          <w:caps w:val="0"/>
          <w:spacing w:val="0"/>
          <w:w w:val="100"/>
          <w:kern w:val="2"/>
          <w:sz w:val="32"/>
          <w:szCs w:val="32"/>
          <w:lang w:val="en-US" w:eastAsia="zh-CN" w:bidi="ar-SA"/>
        </w:rPr>
        <w:t>关于</w:t>
      </w:r>
      <w:r>
        <w:rPr>
          <w:rStyle w:val="10"/>
          <w:rFonts w:ascii="仿宋_GB2312" w:hAnsi="仿宋" w:eastAsia="仿宋_GB2312"/>
          <w:b w:val="0"/>
          <w:i w:val="0"/>
          <w:caps w:val="0"/>
          <w:spacing w:val="0"/>
          <w:w w:val="100"/>
          <w:kern w:val="2"/>
          <w:sz w:val="32"/>
          <w:szCs w:val="32"/>
          <w:lang w:val="en-US" w:eastAsia="zh-CN" w:bidi="ar-SA"/>
        </w:rPr>
        <w:t>《</w:t>
      </w:r>
      <w:r>
        <w:rPr>
          <w:rStyle w:val="10"/>
          <w:rFonts w:hint="eastAsia" w:ascii="仿宋_GB2312" w:hAnsi="仿宋" w:eastAsia="仿宋_GB2312"/>
          <w:b w:val="0"/>
          <w:i w:val="0"/>
          <w:caps w:val="0"/>
          <w:spacing w:val="0"/>
          <w:w w:val="100"/>
          <w:kern w:val="2"/>
          <w:sz w:val="32"/>
          <w:szCs w:val="32"/>
          <w:lang w:val="en-US" w:eastAsia="zh-CN" w:bidi="ar-SA"/>
        </w:rPr>
        <w:t>灵丘县万邦新材料有限公司新型陶瓷耐火复合材料加工项目</w:t>
      </w:r>
      <w:r>
        <w:rPr>
          <w:rStyle w:val="10"/>
          <w:rFonts w:ascii="仿宋_GB2312" w:hAnsi="仿宋" w:eastAsia="仿宋_GB2312"/>
          <w:b w:val="0"/>
          <w:i w:val="0"/>
          <w:caps w:val="0"/>
          <w:spacing w:val="0"/>
          <w:w w:val="100"/>
          <w:kern w:val="2"/>
          <w:sz w:val="32"/>
          <w:szCs w:val="32"/>
          <w:lang w:val="en-US" w:eastAsia="zh-CN" w:bidi="ar-SA"/>
        </w:rPr>
        <w:t>环境影响报告表》（以下简称《报</w:t>
      </w:r>
      <w:r>
        <w:rPr>
          <w:rStyle w:val="10"/>
          <w:rFonts w:ascii="仿宋_GB2312" w:hAnsi="仿宋" w:eastAsia="仿宋_GB2312"/>
          <w:b w:val="0"/>
          <w:i w:val="0"/>
          <w:caps w:val="0"/>
          <w:spacing w:val="-6"/>
          <w:w w:val="100"/>
          <w:kern w:val="2"/>
          <w:sz w:val="32"/>
          <w:szCs w:val="32"/>
          <w:lang w:val="en-US" w:eastAsia="zh-CN" w:bidi="ar-SA"/>
        </w:rPr>
        <w:t>告表》）相关材料收悉。</w:t>
      </w:r>
      <w:r>
        <w:rPr>
          <w:rStyle w:val="10"/>
          <w:rFonts w:hint="eastAsia" w:ascii="仿宋_GB2312" w:hAnsi="仿宋" w:eastAsia="仿宋_GB2312"/>
          <w:b w:val="0"/>
          <w:i w:val="0"/>
          <w:caps w:val="0"/>
          <w:spacing w:val="-6"/>
          <w:w w:val="100"/>
          <w:kern w:val="2"/>
          <w:sz w:val="32"/>
          <w:szCs w:val="32"/>
          <w:lang w:val="en-US" w:eastAsia="zh-CN" w:bidi="ar-SA"/>
        </w:rPr>
        <w:t>结合大同市生态环境评估中心出具的，《关于&lt;灵丘县万邦新材料有限公司新型陶瓷耐火复合材料加工项目环境影响报告表&gt;的技术评估报告》，</w:t>
      </w:r>
      <w:r>
        <w:rPr>
          <w:rStyle w:val="10"/>
          <w:rFonts w:ascii="仿宋_GB2312" w:hAnsi="仿宋_GB2312" w:eastAsia="仿宋_GB2312"/>
          <w:b w:val="0"/>
          <w:i w:val="0"/>
          <w:caps w:val="0"/>
          <w:spacing w:val="-6"/>
          <w:w w:val="100"/>
          <w:kern w:val="2"/>
          <w:sz w:val="32"/>
          <w:szCs w:val="32"/>
          <w:lang w:val="en-US" w:eastAsia="zh-CN" w:bidi="ar-SA"/>
        </w:rPr>
        <w:t>经研究，批复如下：</w:t>
      </w:r>
    </w:p>
    <w:p w14:paraId="7B7F018A">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sz w:val="32"/>
          <w:szCs w:val="32"/>
          <w:lang w:val="en-US" w:eastAsia="zh-CN" w:bidi="ar-SA"/>
        </w:rPr>
      </w:pPr>
      <w:r>
        <w:rPr>
          <w:rStyle w:val="10"/>
          <w:rFonts w:ascii="仿宋_GB2312" w:hAnsi="仿宋" w:eastAsia="仿宋_GB2312"/>
          <w:b w:val="0"/>
          <w:i w:val="0"/>
          <w:caps w:val="0"/>
          <w:color w:val="000000"/>
          <w:spacing w:val="0"/>
          <w:w w:val="100"/>
          <w:sz w:val="32"/>
          <w:szCs w:val="32"/>
          <w:lang w:val="en-US" w:eastAsia="zh-CN" w:bidi="ar-SA"/>
        </w:rPr>
        <w:t>一、该项目</w:t>
      </w:r>
      <w:r>
        <w:rPr>
          <w:rStyle w:val="10"/>
          <w:rFonts w:hint="eastAsia" w:ascii="仿宋_GB2312" w:hAnsi="仿宋" w:eastAsia="仿宋_GB2312"/>
          <w:b w:val="0"/>
          <w:i w:val="0"/>
          <w:caps w:val="0"/>
          <w:color w:val="000000"/>
          <w:spacing w:val="0"/>
          <w:w w:val="100"/>
          <w:sz w:val="32"/>
          <w:szCs w:val="32"/>
          <w:lang w:val="en-US" w:eastAsia="zh-CN" w:bidi="ar-SA"/>
        </w:rPr>
        <w:t>位于山西省大同市灵丘县东河南镇小寨村东北侧133m</w:t>
      </w:r>
      <w:r>
        <w:rPr>
          <w:rStyle w:val="10"/>
          <w:rFonts w:hint="eastAsia" w:ascii="仿宋_GB2312" w:hAnsi="仿宋" w:eastAsia="仿宋_GB2312"/>
          <w:b w:val="0"/>
          <w:i w:val="0"/>
          <w:caps w:val="0"/>
          <w:color w:val="auto"/>
          <w:spacing w:val="0"/>
          <w:w w:val="100"/>
          <w:sz w:val="32"/>
          <w:szCs w:val="32"/>
          <w:lang w:val="en-US" w:eastAsia="zh-CN" w:bidi="ar-SA"/>
        </w:rPr>
        <w:t>。</w:t>
      </w:r>
      <w:r>
        <w:rPr>
          <w:rStyle w:val="10"/>
          <w:rFonts w:hint="default" w:ascii="仿宋_GB2312" w:hAnsi="仿宋" w:eastAsia="仿宋_GB2312" w:cs="Times New Roman"/>
          <w:b w:val="0"/>
          <w:i w:val="0"/>
          <w:caps w:val="0"/>
          <w:spacing w:val="-6"/>
          <w:w w:val="100"/>
          <w:kern w:val="2"/>
          <w:sz w:val="32"/>
          <w:szCs w:val="32"/>
          <w:lang w:val="en-US" w:eastAsia="zh-CN" w:bidi="ar-SA"/>
        </w:rPr>
        <w:t>用地面积</w:t>
      </w:r>
      <w:r>
        <w:rPr>
          <w:rStyle w:val="10"/>
          <w:rFonts w:hint="eastAsia" w:ascii="仿宋_GB2312" w:hAnsi="仿宋" w:eastAsia="仿宋_GB2312"/>
          <w:b w:val="0"/>
          <w:i w:val="0"/>
          <w:caps w:val="0"/>
          <w:color w:val="auto"/>
          <w:spacing w:val="0"/>
          <w:w w:val="100"/>
          <w:sz w:val="32"/>
          <w:szCs w:val="32"/>
          <w:lang w:val="en-US" w:eastAsia="zh-CN" w:bidi="ar-SA"/>
        </w:rPr>
        <w:t>9749.52</w:t>
      </w:r>
      <w:r>
        <w:rPr>
          <w:rStyle w:val="10"/>
          <w:rFonts w:hint="default" w:ascii="仿宋_GB2312" w:hAnsi="仿宋" w:eastAsia="仿宋_GB2312" w:cs="Times New Roman"/>
          <w:b w:val="0"/>
          <w:i w:val="0"/>
          <w:caps w:val="0"/>
          <w:spacing w:val="-6"/>
          <w:w w:val="100"/>
          <w:kern w:val="2"/>
          <w:sz w:val="32"/>
          <w:szCs w:val="32"/>
          <w:lang w:val="en-US" w:eastAsia="zh-CN" w:bidi="ar-SA"/>
        </w:rPr>
        <w:t>m</w:t>
      </w:r>
      <w:r>
        <w:rPr>
          <w:rStyle w:val="10"/>
          <w:rFonts w:hint="default" w:ascii="仿宋_GB2312" w:hAnsi="仿宋" w:eastAsia="仿宋_GB2312" w:cs="Times New Roman"/>
          <w:b w:val="0"/>
          <w:i w:val="0"/>
          <w:caps w:val="0"/>
          <w:spacing w:val="-6"/>
          <w:w w:val="100"/>
          <w:kern w:val="2"/>
          <w:sz w:val="32"/>
          <w:szCs w:val="32"/>
          <w:vertAlign w:val="superscript"/>
          <w:lang w:val="en-US" w:eastAsia="zh-CN" w:bidi="ar-SA"/>
        </w:rPr>
        <w:t>2</w:t>
      </w:r>
      <w:r>
        <w:rPr>
          <w:rStyle w:val="10"/>
          <w:rFonts w:hint="eastAsia" w:ascii="仿宋_GB2312" w:hAnsi="仿宋" w:eastAsia="仿宋_GB2312" w:cs="Times New Roman"/>
          <w:b w:val="0"/>
          <w:i w:val="0"/>
          <w:caps w:val="0"/>
          <w:spacing w:val="-6"/>
          <w:w w:val="100"/>
          <w:kern w:val="2"/>
          <w:sz w:val="32"/>
          <w:szCs w:val="32"/>
          <w:lang w:val="en-US" w:eastAsia="zh-CN" w:bidi="ar-SA"/>
        </w:rPr>
        <w:t>，总建筑面积1800</w:t>
      </w:r>
      <w:r>
        <w:rPr>
          <w:rStyle w:val="10"/>
          <w:rFonts w:hint="default" w:ascii="仿宋_GB2312" w:hAnsi="仿宋" w:eastAsia="仿宋_GB2312" w:cs="Times New Roman"/>
          <w:b w:val="0"/>
          <w:i w:val="0"/>
          <w:caps w:val="0"/>
          <w:spacing w:val="-6"/>
          <w:w w:val="100"/>
          <w:kern w:val="2"/>
          <w:sz w:val="32"/>
          <w:szCs w:val="32"/>
          <w:lang w:val="en-US" w:eastAsia="zh-CN" w:bidi="ar-SA"/>
        </w:rPr>
        <w:t>m</w:t>
      </w:r>
      <w:r>
        <w:rPr>
          <w:rStyle w:val="10"/>
          <w:rFonts w:hint="default" w:ascii="仿宋_GB2312" w:hAnsi="仿宋" w:eastAsia="仿宋_GB2312" w:cs="Times New Roman"/>
          <w:b w:val="0"/>
          <w:i w:val="0"/>
          <w:caps w:val="0"/>
          <w:spacing w:val="-6"/>
          <w:w w:val="100"/>
          <w:kern w:val="2"/>
          <w:sz w:val="32"/>
          <w:szCs w:val="32"/>
          <w:vertAlign w:val="superscript"/>
          <w:lang w:val="en-US" w:eastAsia="zh-CN" w:bidi="ar-SA"/>
        </w:rPr>
        <w:t>2</w:t>
      </w:r>
      <w:r>
        <w:rPr>
          <w:rStyle w:val="10"/>
          <w:rFonts w:hint="eastAsia" w:ascii="仿宋_GB2312" w:hAnsi="仿宋" w:eastAsia="仿宋_GB2312" w:cs="Times New Roman"/>
          <w:b w:val="0"/>
          <w:i w:val="0"/>
          <w:caps w:val="0"/>
          <w:spacing w:val="-6"/>
          <w:w w:val="100"/>
          <w:kern w:val="2"/>
          <w:sz w:val="32"/>
          <w:szCs w:val="32"/>
          <w:lang w:val="en-US" w:eastAsia="zh-CN" w:bidi="ar-SA"/>
        </w:rPr>
        <w:t>。利用现有硬化厂区、生产车间、原料成品库及天然气、电力，办公生活设施等公用辅助工程，新增节能环保煅烧炉、破碎、粉磨、筛分、传输设备以及料仓、除尘、脱硫脱硝等环保设备。预计年产高品质新型陶瓷耐火复合材料3万吨。</w:t>
      </w:r>
      <w:r>
        <w:rPr>
          <w:rStyle w:val="10"/>
          <w:rFonts w:ascii="仿宋_GB2312" w:hAnsi="仿宋" w:eastAsia="仿宋_GB2312"/>
          <w:b w:val="0"/>
          <w:i w:val="0"/>
          <w:caps w:val="0"/>
          <w:color w:val="auto"/>
          <w:spacing w:val="0"/>
          <w:w w:val="100"/>
          <w:sz w:val="32"/>
          <w:szCs w:val="32"/>
          <w:lang w:val="en-US" w:eastAsia="zh-CN" w:bidi="ar-SA"/>
        </w:rPr>
        <w:t>项目总投资为</w:t>
      </w:r>
      <w:r>
        <w:rPr>
          <w:rStyle w:val="10"/>
          <w:rFonts w:hint="eastAsia" w:ascii="仿宋_GB2312" w:hAnsi="仿宋" w:eastAsia="仿宋_GB2312"/>
          <w:b w:val="0"/>
          <w:i w:val="0"/>
          <w:caps w:val="0"/>
          <w:color w:val="auto"/>
          <w:spacing w:val="0"/>
          <w:w w:val="100"/>
          <w:sz w:val="32"/>
          <w:szCs w:val="32"/>
          <w:lang w:val="en-US" w:eastAsia="zh-CN" w:bidi="ar-SA"/>
        </w:rPr>
        <w:t>2000</w:t>
      </w:r>
      <w:r>
        <w:rPr>
          <w:rStyle w:val="10"/>
          <w:rFonts w:ascii="仿宋_GB2312" w:hAnsi="仿宋" w:eastAsia="仿宋_GB2312"/>
          <w:b w:val="0"/>
          <w:i w:val="0"/>
          <w:caps w:val="0"/>
          <w:color w:val="auto"/>
          <w:spacing w:val="0"/>
          <w:w w:val="100"/>
          <w:sz w:val="32"/>
          <w:szCs w:val="32"/>
          <w:lang w:val="en-US" w:eastAsia="zh-CN" w:bidi="ar-SA"/>
        </w:rPr>
        <w:t>万元，环保投资</w:t>
      </w:r>
      <w:r>
        <w:rPr>
          <w:rStyle w:val="10"/>
          <w:rFonts w:hint="eastAsia" w:ascii="仿宋_GB2312" w:hAnsi="仿宋" w:eastAsia="仿宋_GB2312"/>
          <w:b w:val="0"/>
          <w:i w:val="0"/>
          <w:caps w:val="0"/>
          <w:color w:val="auto"/>
          <w:spacing w:val="0"/>
          <w:w w:val="100"/>
          <w:sz w:val="32"/>
          <w:szCs w:val="32"/>
          <w:lang w:val="en-US" w:eastAsia="zh-CN" w:bidi="ar-SA"/>
        </w:rPr>
        <w:t>700</w:t>
      </w:r>
      <w:r>
        <w:rPr>
          <w:rStyle w:val="10"/>
          <w:rFonts w:ascii="仿宋_GB2312" w:hAnsi="仿宋" w:eastAsia="仿宋_GB2312"/>
          <w:b w:val="0"/>
          <w:i w:val="0"/>
          <w:caps w:val="0"/>
          <w:color w:val="auto"/>
          <w:spacing w:val="0"/>
          <w:w w:val="100"/>
          <w:sz w:val="32"/>
          <w:szCs w:val="32"/>
          <w:lang w:val="en-US" w:eastAsia="zh-CN" w:bidi="ar-SA"/>
        </w:rPr>
        <w:t>万元，占总投资比例的</w:t>
      </w:r>
      <w:r>
        <w:rPr>
          <w:rStyle w:val="10"/>
          <w:rFonts w:hint="eastAsia" w:ascii="仿宋_GB2312" w:hAnsi="仿宋" w:eastAsia="仿宋_GB2312"/>
          <w:b w:val="0"/>
          <w:i w:val="0"/>
          <w:caps w:val="0"/>
          <w:color w:val="auto"/>
          <w:spacing w:val="0"/>
          <w:w w:val="100"/>
          <w:sz w:val="32"/>
          <w:szCs w:val="32"/>
          <w:lang w:val="en-US" w:eastAsia="zh-CN" w:bidi="ar-SA"/>
        </w:rPr>
        <w:t>35%</w:t>
      </w:r>
      <w:r>
        <w:rPr>
          <w:rStyle w:val="10"/>
          <w:rFonts w:ascii="仿宋_GB2312" w:hAnsi="仿宋" w:eastAsia="仿宋_GB2312"/>
          <w:b w:val="0"/>
          <w:i w:val="0"/>
          <w:caps w:val="0"/>
          <w:color w:val="auto"/>
          <w:spacing w:val="0"/>
          <w:w w:val="100"/>
          <w:sz w:val="32"/>
          <w:szCs w:val="32"/>
          <w:lang w:val="en-US" w:eastAsia="zh-CN" w:bidi="ar-SA"/>
        </w:rPr>
        <w:t>。</w:t>
      </w:r>
      <w:r>
        <w:rPr>
          <w:rStyle w:val="10"/>
          <w:rFonts w:hint="eastAsia" w:ascii="仿宋_GB2312" w:hAnsi="仿宋" w:eastAsia="仿宋_GB2312"/>
          <w:b w:val="0"/>
          <w:i w:val="0"/>
          <w:caps w:val="0"/>
          <w:color w:val="000000"/>
          <w:spacing w:val="0"/>
          <w:w w:val="100"/>
          <w:sz w:val="32"/>
          <w:szCs w:val="32"/>
          <w:lang w:val="en-US" w:eastAsia="zh-CN" w:bidi="ar-SA"/>
        </w:rPr>
        <w:t>根据国家发展和改革委员会发布实施的《产业结构调整指导目录（2024年本）》，该项目属于鼓励类，且项目已取得灵丘县发展和改革局下发的《山西省企业投资项目备案证》。</w:t>
      </w:r>
      <w:r>
        <w:rPr>
          <w:rStyle w:val="10"/>
          <w:rFonts w:ascii="仿宋_GB2312" w:hAnsi="仿宋" w:eastAsia="仿宋_GB2312"/>
          <w:b w:val="0"/>
          <w:i w:val="0"/>
          <w:caps w:val="0"/>
          <w:color w:val="000000"/>
          <w:spacing w:val="0"/>
          <w:w w:val="100"/>
          <w:sz w:val="32"/>
          <w:szCs w:val="32"/>
          <w:lang w:val="en-US" w:eastAsia="zh-CN" w:bidi="ar-SA"/>
        </w:rPr>
        <w:t>在全面落实《报告表》提出的污染防治和生态保护措施的前提下，工程建设对环境的不利影响可得到缓解和控制。我</w:t>
      </w:r>
      <w:r>
        <w:rPr>
          <w:rStyle w:val="10"/>
          <w:rFonts w:hint="eastAsia" w:ascii="仿宋_GB2312" w:hAnsi="仿宋" w:eastAsia="仿宋_GB2312"/>
          <w:b w:val="0"/>
          <w:i w:val="0"/>
          <w:caps w:val="0"/>
          <w:color w:val="000000"/>
          <w:spacing w:val="0"/>
          <w:w w:val="100"/>
          <w:sz w:val="32"/>
          <w:szCs w:val="32"/>
          <w:lang w:val="en-US" w:eastAsia="zh-CN" w:bidi="ar-SA"/>
        </w:rPr>
        <w:t>分</w:t>
      </w:r>
      <w:r>
        <w:rPr>
          <w:rStyle w:val="10"/>
          <w:rFonts w:ascii="仿宋_GB2312" w:hAnsi="仿宋" w:eastAsia="仿宋_GB2312"/>
          <w:b w:val="0"/>
          <w:i w:val="0"/>
          <w:caps w:val="0"/>
          <w:color w:val="000000"/>
          <w:spacing w:val="0"/>
          <w:w w:val="100"/>
          <w:sz w:val="32"/>
          <w:szCs w:val="32"/>
          <w:lang w:val="en-US" w:eastAsia="zh-CN" w:bidi="ar-SA"/>
        </w:rPr>
        <w:t>局原则同意《报告表》所列建设项目的性质、规模、地点、采用的生产工艺和采取的环境保护措施。</w:t>
      </w:r>
    </w:p>
    <w:p w14:paraId="0C3F0A13">
      <w:pPr>
        <w:pStyle w:val="11"/>
        <w:keepNext w:val="0"/>
        <w:keepLines w:val="0"/>
        <w:pageBreakBefore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二、</w:t>
      </w:r>
      <w:r>
        <w:rPr>
          <w:rStyle w:val="10"/>
          <w:rFonts w:ascii="仿宋_GB2312" w:hAnsi="仿宋_GB2312" w:eastAsia="仿宋_GB2312"/>
          <w:b w:val="0"/>
          <w:i w:val="0"/>
          <w:caps w:val="0"/>
          <w:color w:val="000000"/>
          <w:spacing w:val="0"/>
          <w:w w:val="100"/>
          <w:kern w:val="2"/>
          <w:sz w:val="32"/>
          <w:szCs w:val="32"/>
          <w:lang w:val="en-US" w:eastAsia="zh-CN" w:bidi="ar-SA"/>
        </w:rPr>
        <w:t>在项目建设和运行管理中，必须对照《报告表》逐一落实各项环保对策措施，重点做好以下工作：</w:t>
      </w:r>
    </w:p>
    <w:p w14:paraId="521F163A">
      <w:pPr>
        <w:keepNext w:val="0"/>
        <w:keepLines w:val="0"/>
        <w:pageBreakBefore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1、认真做好施工期环境保护工作，</w:t>
      </w:r>
      <w:r>
        <w:rPr>
          <w:rStyle w:val="10"/>
          <w:rFonts w:hint="eastAsia" w:ascii="仿宋_GB2312" w:hAnsi="仿宋_GB2312" w:eastAsia="仿宋_GB2312"/>
          <w:b w:val="0"/>
          <w:i w:val="0"/>
          <w:caps w:val="0"/>
          <w:color w:val="000000"/>
          <w:spacing w:val="0"/>
          <w:w w:val="100"/>
          <w:kern w:val="2"/>
          <w:sz w:val="32"/>
          <w:szCs w:val="32"/>
          <w:lang w:val="en-US" w:eastAsia="zh-CN" w:bidi="ar-SA"/>
        </w:rPr>
        <w:t>施工过程严格落实“六个百分之百”，</w:t>
      </w:r>
      <w:r>
        <w:rPr>
          <w:rStyle w:val="10"/>
          <w:rFonts w:ascii="仿宋_GB2312" w:hAnsi="仿宋_GB2312" w:eastAsia="仿宋_GB2312"/>
          <w:b w:val="0"/>
          <w:i w:val="0"/>
          <w:caps w:val="0"/>
          <w:color w:val="000000"/>
          <w:spacing w:val="0"/>
          <w:w w:val="100"/>
          <w:kern w:val="2"/>
          <w:sz w:val="32"/>
          <w:szCs w:val="32"/>
          <w:lang w:val="en-US" w:eastAsia="zh-CN" w:bidi="ar-SA"/>
        </w:rPr>
        <w:t>加强</w:t>
      </w:r>
      <w:r>
        <w:rPr>
          <w:rStyle w:val="10"/>
          <w:rFonts w:hint="eastAsia" w:ascii="仿宋_GB2312" w:hAnsi="仿宋_GB2312" w:eastAsia="仿宋_GB2312"/>
          <w:b w:val="0"/>
          <w:i w:val="0"/>
          <w:caps w:val="0"/>
          <w:color w:val="000000"/>
          <w:spacing w:val="0"/>
          <w:w w:val="100"/>
          <w:kern w:val="2"/>
          <w:sz w:val="32"/>
          <w:szCs w:val="32"/>
          <w:lang w:val="en-US" w:eastAsia="zh-CN" w:bidi="ar-SA"/>
        </w:rPr>
        <w:t>废水、噪声、固体废物</w:t>
      </w:r>
      <w:r>
        <w:rPr>
          <w:rStyle w:val="10"/>
          <w:rFonts w:ascii="仿宋_GB2312" w:hAnsi="仿宋_GB2312" w:eastAsia="仿宋_GB2312"/>
          <w:b w:val="0"/>
          <w:i w:val="0"/>
          <w:caps w:val="0"/>
          <w:color w:val="000000"/>
          <w:spacing w:val="0"/>
          <w:w w:val="100"/>
          <w:kern w:val="2"/>
          <w:sz w:val="32"/>
          <w:szCs w:val="32"/>
          <w:lang w:val="en-US" w:eastAsia="zh-CN" w:bidi="ar-SA"/>
        </w:rPr>
        <w:t>环境管理，落实《报</w:t>
      </w:r>
      <w:r>
        <w:rPr>
          <w:rStyle w:val="10"/>
          <w:rFonts w:ascii="仿宋_GB2312" w:hAnsi="仿宋_GB2312" w:eastAsia="仿宋_GB2312"/>
          <w:b w:val="0"/>
          <w:i w:val="0"/>
          <w:caps w:val="0"/>
          <w:color w:val="000000"/>
          <w:spacing w:val="-6"/>
          <w:w w:val="100"/>
          <w:kern w:val="2"/>
          <w:sz w:val="32"/>
          <w:szCs w:val="32"/>
          <w:lang w:val="en-US" w:eastAsia="zh-CN" w:bidi="ar-SA"/>
        </w:rPr>
        <w:t>告表》提出的各项污染防治及生态保护措施，降低对周边的影响。</w:t>
      </w:r>
    </w:p>
    <w:p w14:paraId="2BD742CB">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baseline"/>
        <w:rPr>
          <w:rStyle w:val="10"/>
          <w:rFonts w:ascii="仿宋_GB2312" w:hAnsi="仿宋_GB2312" w:eastAsia="仿宋_GB2312"/>
          <w:b w:val="0"/>
          <w:i w:val="0"/>
          <w:caps w:val="0"/>
          <w:color w:val="0000FF"/>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2、废气污染防治措施。运营期</w:t>
      </w:r>
      <w:r>
        <w:rPr>
          <w:rStyle w:val="10"/>
          <w:rFonts w:hint="eastAsia" w:ascii="仿宋_GB2312" w:hAnsi="仿宋_GB2312" w:eastAsia="仿宋_GB2312"/>
          <w:b w:val="0"/>
          <w:i w:val="0"/>
          <w:caps w:val="0"/>
          <w:color w:val="000000"/>
          <w:spacing w:val="0"/>
          <w:w w:val="100"/>
          <w:kern w:val="2"/>
          <w:sz w:val="32"/>
          <w:szCs w:val="32"/>
          <w:lang w:val="en-US" w:eastAsia="zh-CN" w:bidi="ar-SA"/>
        </w:rPr>
        <w:t>装卸产生的扬尘，要设全封闭原料库（采用钢结构，地面防渗硬化），并配套建设抑尘雾炮机，车辆出入口采用自动感应密闭门；输送产生的粉尘，输送皮带要采取全封闭措施；道路扬尘，设洗车台，厂区内抑尘洒水且运输车辆减速行驶；热工单元废气，2座平窑经1套SNCR脱硝（2个）+布袋除尘+烟气升温+SCR脱硝+石灰石-石膏法脱硫处理后通过1根15m排气筒排放；2座立窑经1套SNCR脱硝（2个）+布袋除尘+烟气升温+SCR脱硝+石灰石-石膏法脱硫处理后通过1根15m排气筒排放；成品后处理单元，在上料机、破碎机、滚筒筛各设置1个集尘罩，磨粉机、成品仓全封闭，粉尘经集尘罩收集后经1台布袋除尘器处理后通过1根15m高排气筒排放。运营期废气排放标准执行《耐火材料工业大气污染物排放标准》（DB14/2800-2023）中表1排放限值。厂界无组织颗粒物执行《大气污染物综合排放标准》（GB16297-1996）中表2排放限值。</w:t>
      </w:r>
    </w:p>
    <w:p w14:paraId="72DA9B2B">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3、废水污染防治措施。</w:t>
      </w:r>
      <w:r>
        <w:rPr>
          <w:rStyle w:val="10"/>
          <w:rFonts w:hint="eastAsia" w:ascii="仿宋_GB2312" w:hAnsi="仿宋_GB2312" w:eastAsia="仿宋_GB2312"/>
          <w:b w:val="0"/>
          <w:i w:val="0"/>
          <w:caps w:val="0"/>
          <w:color w:val="000000"/>
          <w:spacing w:val="0"/>
          <w:w w:val="100"/>
          <w:kern w:val="2"/>
          <w:sz w:val="32"/>
          <w:szCs w:val="32"/>
          <w:lang w:val="en-US" w:eastAsia="zh-CN" w:bidi="ar-SA"/>
        </w:rPr>
        <w:t>运营期脱硫废水，经2座15m</w:t>
      </w:r>
      <w:r>
        <w:rPr>
          <w:rStyle w:val="10"/>
          <w:rFonts w:hint="eastAsia" w:ascii="仿宋_GB2312" w:hAnsi="仿宋_GB2312" w:eastAsia="仿宋_GB2312"/>
          <w:b w:val="0"/>
          <w:i w:val="0"/>
          <w:caps w:val="0"/>
          <w:color w:val="000000"/>
          <w:spacing w:val="0"/>
          <w:w w:val="100"/>
          <w:kern w:val="2"/>
          <w:sz w:val="32"/>
          <w:szCs w:val="32"/>
          <w:vertAlign w:val="superscript"/>
          <w:lang w:val="en-US" w:eastAsia="zh-CN" w:bidi="ar-SA"/>
        </w:rPr>
        <w:t>3</w:t>
      </w:r>
      <w:r>
        <w:rPr>
          <w:rStyle w:val="10"/>
          <w:rFonts w:hint="eastAsia" w:ascii="仿宋_GB2312" w:hAnsi="仿宋_GB2312" w:eastAsia="仿宋_GB2312"/>
          <w:b w:val="0"/>
          <w:i w:val="0"/>
          <w:caps w:val="0"/>
          <w:color w:val="000000"/>
          <w:spacing w:val="0"/>
          <w:w w:val="100"/>
          <w:kern w:val="2"/>
          <w:sz w:val="32"/>
          <w:szCs w:val="32"/>
          <w:lang w:val="en-US" w:eastAsia="zh-CN" w:bidi="ar-SA"/>
        </w:rPr>
        <w:t>脱硫水池循环使用不外排；生产废水，经一座3m</w:t>
      </w:r>
      <w:r>
        <w:rPr>
          <w:rStyle w:val="10"/>
          <w:rFonts w:hint="eastAsia" w:ascii="仿宋_GB2312" w:hAnsi="仿宋_GB2312" w:eastAsia="仿宋_GB2312"/>
          <w:b w:val="0"/>
          <w:i w:val="0"/>
          <w:caps w:val="0"/>
          <w:color w:val="000000"/>
          <w:spacing w:val="0"/>
          <w:w w:val="100"/>
          <w:kern w:val="2"/>
          <w:sz w:val="32"/>
          <w:szCs w:val="32"/>
          <w:vertAlign w:val="superscript"/>
          <w:lang w:val="en-US" w:eastAsia="zh-CN" w:bidi="ar-SA"/>
        </w:rPr>
        <w:t>3</w:t>
      </w:r>
      <w:r>
        <w:rPr>
          <w:rStyle w:val="10"/>
          <w:rFonts w:hint="eastAsia" w:ascii="仿宋_GB2312" w:hAnsi="仿宋_GB2312" w:eastAsia="仿宋_GB2312"/>
          <w:b w:val="0"/>
          <w:i w:val="0"/>
          <w:caps w:val="0"/>
          <w:color w:val="000000"/>
          <w:spacing w:val="0"/>
          <w:w w:val="100"/>
          <w:kern w:val="2"/>
          <w:sz w:val="32"/>
          <w:szCs w:val="32"/>
          <w:lang w:val="en-US" w:eastAsia="zh-CN" w:bidi="ar-SA"/>
        </w:rPr>
        <w:t>三级沉淀池处理后循环利用，不外排；生活污水进入2m</w:t>
      </w:r>
      <w:r>
        <w:rPr>
          <w:rStyle w:val="10"/>
          <w:rFonts w:hint="eastAsia" w:ascii="仿宋_GB2312" w:hAnsi="仿宋_GB2312" w:eastAsia="仿宋_GB2312"/>
          <w:b w:val="0"/>
          <w:i w:val="0"/>
          <w:caps w:val="0"/>
          <w:color w:val="000000"/>
          <w:spacing w:val="0"/>
          <w:w w:val="100"/>
          <w:kern w:val="2"/>
          <w:sz w:val="32"/>
          <w:szCs w:val="32"/>
          <w:vertAlign w:val="superscript"/>
          <w:lang w:val="en-US" w:eastAsia="zh-CN" w:bidi="ar-SA"/>
        </w:rPr>
        <w:t>3</w:t>
      </w:r>
      <w:r>
        <w:rPr>
          <w:rStyle w:val="10"/>
          <w:rFonts w:hint="eastAsia" w:ascii="仿宋_GB2312" w:hAnsi="仿宋_GB2312" w:eastAsia="仿宋_GB2312"/>
          <w:b w:val="0"/>
          <w:i w:val="0"/>
          <w:caps w:val="0"/>
          <w:color w:val="000000"/>
          <w:spacing w:val="0"/>
          <w:w w:val="100"/>
          <w:kern w:val="2"/>
          <w:sz w:val="32"/>
          <w:szCs w:val="32"/>
          <w:lang w:val="en-US" w:eastAsia="zh-CN" w:bidi="ar-SA"/>
        </w:rPr>
        <w:t>化粪池处理后用于周边农肥；初期雨水，设置100m</w:t>
      </w:r>
      <w:r>
        <w:rPr>
          <w:rStyle w:val="10"/>
          <w:rFonts w:hint="eastAsia" w:ascii="仿宋_GB2312" w:hAnsi="仿宋_GB2312" w:eastAsia="仿宋_GB2312"/>
          <w:b w:val="0"/>
          <w:i w:val="0"/>
          <w:caps w:val="0"/>
          <w:color w:val="000000"/>
          <w:spacing w:val="0"/>
          <w:w w:val="100"/>
          <w:kern w:val="2"/>
          <w:sz w:val="32"/>
          <w:szCs w:val="32"/>
          <w:vertAlign w:val="superscript"/>
          <w:lang w:val="en-US" w:eastAsia="zh-CN" w:bidi="ar-SA"/>
        </w:rPr>
        <w:t>3</w:t>
      </w:r>
      <w:r>
        <w:rPr>
          <w:rStyle w:val="10"/>
          <w:rFonts w:hint="eastAsia" w:ascii="仿宋_GB2312" w:hAnsi="仿宋_GB2312" w:eastAsia="仿宋_GB2312"/>
          <w:b w:val="0"/>
          <w:i w:val="0"/>
          <w:caps w:val="0"/>
          <w:color w:val="000000"/>
          <w:spacing w:val="0"/>
          <w:w w:val="100"/>
          <w:kern w:val="2"/>
          <w:sz w:val="32"/>
          <w:szCs w:val="32"/>
          <w:lang w:val="en-US" w:eastAsia="zh-CN" w:bidi="ar-SA"/>
        </w:rPr>
        <w:t>初期雨水池，雨水经收集回用于生产不外排。</w:t>
      </w:r>
    </w:p>
    <w:p w14:paraId="0F63D5BD">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64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4、噪声污染防治措施。</w:t>
      </w:r>
      <w:r>
        <w:rPr>
          <w:rStyle w:val="10"/>
          <w:rFonts w:hint="eastAsia" w:ascii="仿宋_GB2312" w:hAnsi="仿宋_GB2312" w:eastAsia="仿宋_GB2312"/>
          <w:b w:val="0"/>
          <w:i w:val="0"/>
          <w:caps w:val="0"/>
          <w:color w:val="000000"/>
          <w:spacing w:val="0"/>
          <w:w w:val="100"/>
          <w:kern w:val="2"/>
          <w:sz w:val="32"/>
          <w:szCs w:val="32"/>
          <w:lang w:val="en-US" w:eastAsia="zh-CN" w:bidi="ar-SA"/>
        </w:rPr>
        <w:t>运营期要选用低噪声设备，室内安装、基础减振、厂房隔声、运输车辆限速、禁鸣笛；装载机定期维护保养等措施减少对周围环境的噪声污染。运营期厂界噪声排放执行《工业企业厂界环境噪声排放标准》（GB12348-2008）2类标准。</w:t>
      </w:r>
    </w:p>
    <w:p w14:paraId="2C58E587">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firstLine="640"/>
        <w:jc w:val="both"/>
        <w:textAlignment w:val="baseline"/>
        <w:rPr>
          <w:rStyle w:val="10"/>
          <w:rFonts w:ascii="仿宋_GB2312" w:hAnsi="仿宋_GB2312" w:eastAsia="仿宋_GB2312"/>
          <w:b w:val="0"/>
          <w:i w:val="0"/>
          <w:caps w:val="0"/>
          <w:color w:val="auto"/>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5、固体废物污染防治措施。运营期</w:t>
      </w:r>
      <w:r>
        <w:rPr>
          <w:rStyle w:val="10"/>
          <w:rFonts w:hint="eastAsia" w:ascii="仿宋_GB2312" w:hAnsi="仿宋_GB2312" w:eastAsia="仿宋_GB2312"/>
          <w:b w:val="0"/>
          <w:i w:val="0"/>
          <w:caps w:val="0"/>
          <w:color w:val="000000"/>
          <w:spacing w:val="0"/>
          <w:w w:val="100"/>
          <w:kern w:val="2"/>
          <w:sz w:val="32"/>
          <w:szCs w:val="32"/>
          <w:lang w:val="en-US" w:eastAsia="zh-CN" w:bidi="ar-SA"/>
        </w:rPr>
        <w:t>除尘灰作为成品外售；沉淀池沉渣、分拣废石外售于周边煤矸石砖厂；脱硫渣外售于周边建材厂；危险废物贮存库做好重点防渗，设置明显标志。废矿物油、废矿物油桶、废催化剂由30m</w:t>
      </w:r>
      <w:r>
        <w:rPr>
          <w:rStyle w:val="10"/>
          <w:rFonts w:hint="eastAsia" w:ascii="仿宋_GB2312" w:hAnsi="仿宋_GB2312" w:eastAsia="仿宋_GB2312"/>
          <w:b w:val="0"/>
          <w:i w:val="0"/>
          <w:caps w:val="0"/>
          <w:color w:val="000000"/>
          <w:spacing w:val="0"/>
          <w:w w:val="100"/>
          <w:kern w:val="2"/>
          <w:sz w:val="32"/>
          <w:szCs w:val="32"/>
          <w:vertAlign w:val="superscript"/>
          <w:lang w:val="en-US" w:eastAsia="zh-CN" w:bidi="ar-SA"/>
        </w:rPr>
        <w:t>2</w:t>
      </w:r>
      <w:r>
        <w:rPr>
          <w:rStyle w:val="10"/>
          <w:rFonts w:hint="eastAsia" w:ascii="仿宋_GB2312" w:hAnsi="仿宋_GB2312" w:eastAsia="仿宋_GB2312"/>
          <w:b w:val="0"/>
          <w:i w:val="0"/>
          <w:caps w:val="0"/>
          <w:color w:val="000000"/>
          <w:spacing w:val="0"/>
          <w:w w:val="100"/>
          <w:kern w:val="2"/>
          <w:sz w:val="32"/>
          <w:szCs w:val="32"/>
          <w:lang w:val="en-US" w:eastAsia="zh-CN" w:bidi="ar-SA"/>
        </w:rPr>
        <w:t>危险废物贮存库暂存后交由有资质单位定期处置；在厂区内设封闭式垃圾收集箱临时收集后，由环卫部门定时清运。运营期</w:t>
      </w:r>
      <w:r>
        <w:rPr>
          <w:rStyle w:val="10"/>
          <w:rFonts w:hint="eastAsia" w:ascii="仿宋_GB2312" w:hAnsi="仿宋_GB2312" w:eastAsia="仿宋_GB2312"/>
          <w:b w:val="0"/>
          <w:i w:val="0"/>
          <w:caps w:val="0"/>
          <w:color w:val="auto"/>
          <w:spacing w:val="0"/>
          <w:w w:val="100"/>
          <w:kern w:val="2"/>
          <w:sz w:val="32"/>
          <w:szCs w:val="32"/>
          <w:lang w:val="en-US" w:eastAsia="zh-CN" w:bidi="ar-SA"/>
        </w:rPr>
        <w:t>一般固体废物处置执行《一般工业固体废物贮存和填埋污染控制标准》（GB18599-2020）中的有关规定。危险废物执行《危险废物贮存污染控制标准》（GB18597-2023）中的有关规定。</w:t>
      </w:r>
    </w:p>
    <w:p w14:paraId="1FEBECF0">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6、加强</w:t>
      </w:r>
      <w:r>
        <w:rPr>
          <w:rStyle w:val="10"/>
          <w:rFonts w:hint="eastAsia" w:ascii="仿宋_GB2312" w:hAnsi="仿宋_GB2312" w:eastAsia="仿宋_GB2312"/>
          <w:b w:val="0"/>
          <w:i w:val="0"/>
          <w:caps w:val="0"/>
          <w:spacing w:val="0"/>
          <w:w w:val="100"/>
          <w:kern w:val="2"/>
          <w:sz w:val="32"/>
          <w:szCs w:val="32"/>
          <w:lang w:val="en-US" w:eastAsia="zh-CN" w:bidi="ar-SA"/>
        </w:rPr>
        <w:t>厂</w:t>
      </w:r>
      <w:r>
        <w:rPr>
          <w:rStyle w:val="10"/>
          <w:rFonts w:ascii="仿宋_GB2312" w:hAnsi="仿宋_GB2312" w:eastAsia="仿宋_GB2312"/>
          <w:b w:val="0"/>
          <w:i w:val="0"/>
          <w:caps w:val="0"/>
          <w:spacing w:val="0"/>
          <w:w w:val="100"/>
          <w:kern w:val="2"/>
          <w:sz w:val="32"/>
          <w:szCs w:val="32"/>
          <w:lang w:val="en-US" w:eastAsia="zh-CN" w:bidi="ar-SA"/>
        </w:rPr>
        <w:t>区的绿化美化工作，改善周边生态环境。</w:t>
      </w:r>
    </w:p>
    <w:p w14:paraId="7B736DE9">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Style w:val="10"/>
          <w:rFonts w:hint="eastAsia" w:ascii="仿宋_GB2312" w:hAnsi="仿宋_GB2312" w:eastAsia="仿宋_GB2312"/>
          <w:b w:val="0"/>
          <w:i w:val="0"/>
          <w:caps w:val="0"/>
          <w:color w:val="auto"/>
          <w:spacing w:val="0"/>
          <w:w w:val="100"/>
          <w:kern w:val="2"/>
          <w:sz w:val="32"/>
          <w:szCs w:val="32"/>
          <w:lang w:val="en-US" w:eastAsia="zh-CN" w:bidi="ar-SA"/>
        </w:rPr>
      </w:pPr>
      <w:r>
        <w:rPr>
          <w:rStyle w:val="10"/>
          <w:rFonts w:ascii="仿宋_GB2312" w:hAnsi="仿宋_GB2312" w:eastAsia="仿宋_GB2312"/>
          <w:b w:val="0"/>
          <w:i w:val="0"/>
          <w:caps w:val="0"/>
          <w:color w:val="auto"/>
          <w:spacing w:val="0"/>
          <w:w w:val="100"/>
          <w:kern w:val="2"/>
          <w:sz w:val="32"/>
          <w:szCs w:val="32"/>
          <w:lang w:val="en-US" w:eastAsia="zh-CN" w:bidi="ar-SA"/>
        </w:rPr>
        <w:t>三、该项</w:t>
      </w:r>
      <w:r>
        <w:rPr>
          <w:rStyle w:val="10"/>
          <w:rFonts w:hint="eastAsia" w:ascii="仿宋_GB2312" w:hAnsi="仿宋_GB2312" w:eastAsia="仿宋_GB2312"/>
          <w:b w:val="0"/>
          <w:i w:val="0"/>
          <w:caps w:val="0"/>
          <w:color w:val="auto"/>
          <w:spacing w:val="0"/>
          <w:w w:val="100"/>
          <w:kern w:val="2"/>
          <w:sz w:val="32"/>
          <w:szCs w:val="32"/>
          <w:lang w:val="en-US" w:eastAsia="zh-CN" w:bidi="ar-SA"/>
        </w:rPr>
        <w:t>目污染物排放量为颗粒物排放量为0.753t/a，二氧化硫排放量为2.683t/a，氮氧化物排放量为2.912t/a。</w:t>
      </w:r>
    </w:p>
    <w:p w14:paraId="0829FC8E">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四、加强对工程的环境管理和环境风险预测，制定突发环境事故应急预案及环境保护管理相关制度，采取合理有效措施防范环境风险，预防突发环境事件的发生。</w:t>
      </w:r>
    </w:p>
    <w:p w14:paraId="22130860">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color w:val="292929"/>
          <w:spacing w:val="0"/>
          <w:w w:val="100"/>
          <w:kern w:val="0"/>
          <w:sz w:val="32"/>
          <w:szCs w:val="32"/>
          <w:lang w:val="en-US" w:eastAsia="zh-CN" w:bidi="ar-SA"/>
        </w:rPr>
        <w:t>五、</w:t>
      </w:r>
      <w:r>
        <w:rPr>
          <w:rStyle w:val="10"/>
          <w:rFonts w:ascii="仿宋_GB2312" w:hAnsi="仿宋_GB2312" w:eastAsia="仿宋_GB2312"/>
          <w:b w:val="0"/>
          <w:i w:val="0"/>
          <w:caps w:val="0"/>
          <w:spacing w:val="0"/>
          <w:w w:val="100"/>
          <w:kern w:val="2"/>
          <w:sz w:val="32"/>
          <w:szCs w:val="32"/>
          <w:lang w:val="en-US" w:eastAsia="zh-CN" w:bidi="ar-SA"/>
        </w:rPr>
        <w:t>项目建设要严格执行环保“三同时”制度。并按照《报告表》中提出的各项要求,积极落实各项污染防治措施。项目建成后须按规定进行环境保护竣工验收。环境保护措施未落实到位，不得正式投入运营；如项目的性质、规模、地点、采用的防治污染、防止生态破坏措施发生重大变动的，须报经我局重新审批。</w:t>
      </w:r>
    </w:p>
    <w:p w14:paraId="35678D05">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六、大同市灵丘县生态环境保护综合行政执法队负责该项目建设期及运营期日常监督管理工作。</w:t>
      </w:r>
    </w:p>
    <w:p w14:paraId="2EA90A72">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360" w:firstLineChars="200"/>
        <w:jc w:val="both"/>
        <w:textAlignment w:val="baseline"/>
        <w:rPr>
          <w:rStyle w:val="10"/>
          <w:rFonts w:ascii="仿宋_GB2312" w:hAnsi="仿宋_GB2312" w:eastAsia="仿宋_GB2312"/>
          <w:b w:val="0"/>
          <w:i w:val="0"/>
          <w:caps w:val="0"/>
          <w:spacing w:val="0"/>
          <w:w w:val="100"/>
          <w:kern w:val="2"/>
          <w:sz w:val="18"/>
          <w:szCs w:val="18"/>
          <w:lang w:val="en-US" w:eastAsia="zh-CN" w:bidi="ar-SA"/>
        </w:rPr>
      </w:pPr>
    </w:p>
    <w:p w14:paraId="6634EEDA">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360" w:firstLineChars="200"/>
        <w:jc w:val="both"/>
        <w:textAlignment w:val="baseline"/>
        <w:rPr>
          <w:rStyle w:val="10"/>
          <w:rFonts w:ascii="仿宋_GB2312" w:hAnsi="仿宋_GB2312" w:eastAsia="仿宋_GB2312"/>
          <w:b w:val="0"/>
          <w:i w:val="0"/>
          <w:caps w:val="0"/>
          <w:spacing w:val="0"/>
          <w:w w:val="100"/>
          <w:kern w:val="2"/>
          <w:sz w:val="18"/>
          <w:szCs w:val="18"/>
          <w:lang w:val="en-US" w:eastAsia="zh-CN" w:bidi="ar-SA"/>
        </w:rPr>
      </w:pPr>
      <w:bookmarkStart w:id="0" w:name="_GoBack"/>
      <w:bookmarkEnd w:id="0"/>
    </w:p>
    <w:p w14:paraId="402F00FE">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360" w:firstLineChars="200"/>
        <w:jc w:val="both"/>
        <w:textAlignment w:val="baseline"/>
        <w:rPr>
          <w:rStyle w:val="10"/>
          <w:rFonts w:ascii="仿宋_GB2312" w:hAnsi="仿宋_GB2312" w:eastAsia="仿宋_GB2312"/>
          <w:b w:val="0"/>
          <w:i w:val="0"/>
          <w:caps w:val="0"/>
          <w:spacing w:val="0"/>
          <w:w w:val="100"/>
          <w:kern w:val="2"/>
          <w:sz w:val="18"/>
          <w:szCs w:val="18"/>
          <w:lang w:val="en-US" w:eastAsia="zh-CN" w:bidi="ar-SA"/>
        </w:rPr>
      </w:pPr>
    </w:p>
    <w:p w14:paraId="62997E85">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firstLine="360" w:firstLineChars="200"/>
        <w:jc w:val="both"/>
        <w:textAlignment w:val="baseline"/>
        <w:rPr>
          <w:rStyle w:val="10"/>
          <w:rFonts w:ascii="仿宋_GB2312" w:hAnsi="仿宋_GB2312" w:eastAsia="仿宋_GB2312"/>
          <w:b w:val="0"/>
          <w:i w:val="0"/>
          <w:caps w:val="0"/>
          <w:spacing w:val="0"/>
          <w:w w:val="100"/>
          <w:kern w:val="2"/>
          <w:sz w:val="18"/>
          <w:szCs w:val="18"/>
          <w:lang w:val="en-US" w:eastAsia="zh-CN" w:bidi="ar-SA"/>
        </w:rPr>
      </w:pPr>
    </w:p>
    <w:p w14:paraId="1F744D06">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3840" w:firstLineChars="1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大同市生态环境局灵丘分局</w:t>
      </w:r>
    </w:p>
    <w:p w14:paraId="72CF4936">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4480" w:firstLineChars="1400"/>
        <w:jc w:val="both"/>
        <w:textAlignment w:val="baseline"/>
        <w:rPr>
          <w:rFonts w:hint="eastAsia" w:ascii="仿宋_GB2312" w:hAnsi="仿宋_GB2312" w:eastAsia="仿宋_GB2312" w:cs="仿宋_GB2312"/>
          <w:spacing w:val="0"/>
          <w:sz w:val="32"/>
          <w:szCs w:val="32"/>
        </w:rPr>
      </w:pPr>
      <w:r>
        <w:rPr>
          <w:rStyle w:val="10"/>
          <w:rFonts w:ascii="仿宋_GB2312" w:hAnsi="仿宋_GB2312" w:eastAsia="仿宋_GB2312"/>
          <w:b w:val="0"/>
          <w:i w:val="0"/>
          <w:caps w:val="0"/>
          <w:spacing w:val="0"/>
          <w:w w:val="100"/>
          <w:kern w:val="2"/>
          <w:sz w:val="32"/>
          <w:szCs w:val="32"/>
          <w:lang w:val="en-US" w:eastAsia="zh-CN" w:bidi="ar-SA"/>
        </w:rPr>
        <w:t>202</w:t>
      </w:r>
      <w:r>
        <w:rPr>
          <w:rStyle w:val="10"/>
          <w:rFonts w:hint="eastAsia" w:ascii="仿宋_GB2312" w:hAnsi="仿宋_GB2312" w:eastAsia="仿宋_GB2312"/>
          <w:b w:val="0"/>
          <w:i w:val="0"/>
          <w:caps w:val="0"/>
          <w:spacing w:val="0"/>
          <w:w w:val="100"/>
          <w:kern w:val="2"/>
          <w:sz w:val="32"/>
          <w:szCs w:val="32"/>
          <w:lang w:val="en-US" w:eastAsia="zh-CN" w:bidi="ar-SA"/>
        </w:rPr>
        <w:t>4</w:t>
      </w:r>
      <w:r>
        <w:rPr>
          <w:rStyle w:val="10"/>
          <w:rFonts w:ascii="仿宋_GB2312" w:hAnsi="仿宋_GB2312" w:eastAsia="仿宋_GB2312"/>
          <w:b w:val="0"/>
          <w:i w:val="0"/>
          <w:caps w:val="0"/>
          <w:spacing w:val="0"/>
          <w:w w:val="100"/>
          <w:kern w:val="2"/>
          <w:sz w:val="32"/>
          <w:szCs w:val="32"/>
          <w:lang w:val="en-US" w:eastAsia="zh-CN" w:bidi="ar-SA"/>
        </w:rPr>
        <w:t>年</w:t>
      </w:r>
      <w:r>
        <w:rPr>
          <w:rStyle w:val="10"/>
          <w:rFonts w:hint="eastAsia" w:ascii="仿宋_GB2312" w:hAnsi="仿宋_GB2312" w:eastAsia="仿宋_GB2312"/>
          <w:b w:val="0"/>
          <w:i w:val="0"/>
          <w:caps w:val="0"/>
          <w:spacing w:val="0"/>
          <w:w w:val="100"/>
          <w:kern w:val="2"/>
          <w:sz w:val="32"/>
          <w:szCs w:val="32"/>
          <w:lang w:val="en-US" w:eastAsia="zh-CN" w:bidi="ar-SA"/>
        </w:rPr>
        <w:t>11</w:t>
      </w:r>
      <w:r>
        <w:rPr>
          <w:rStyle w:val="10"/>
          <w:rFonts w:ascii="仿宋_GB2312" w:hAnsi="仿宋_GB2312" w:eastAsia="仿宋_GB2312"/>
          <w:b w:val="0"/>
          <w:i w:val="0"/>
          <w:caps w:val="0"/>
          <w:spacing w:val="0"/>
          <w:w w:val="100"/>
          <w:kern w:val="2"/>
          <w:sz w:val="32"/>
          <w:szCs w:val="32"/>
          <w:lang w:val="en-US" w:eastAsia="zh-CN" w:bidi="ar-SA"/>
        </w:rPr>
        <w:t>月</w:t>
      </w:r>
      <w:r>
        <w:rPr>
          <w:rStyle w:val="10"/>
          <w:rFonts w:hint="eastAsia" w:ascii="仿宋_GB2312" w:hAnsi="仿宋_GB2312" w:eastAsia="仿宋_GB2312"/>
          <w:b w:val="0"/>
          <w:i w:val="0"/>
          <w:caps w:val="0"/>
          <w:spacing w:val="0"/>
          <w:w w:val="100"/>
          <w:kern w:val="2"/>
          <w:sz w:val="32"/>
          <w:szCs w:val="32"/>
          <w:lang w:val="en-US" w:eastAsia="zh-CN" w:bidi="ar-SA"/>
        </w:rPr>
        <w:t>19</w:t>
      </w:r>
      <w:r>
        <w:rPr>
          <w:rStyle w:val="10"/>
          <w:rFonts w:ascii="仿宋_GB2312" w:hAnsi="仿宋_GB2312" w:eastAsia="仿宋_GB2312"/>
          <w:b w:val="0"/>
          <w:i w:val="0"/>
          <w:caps w:val="0"/>
          <w:spacing w:val="0"/>
          <w:w w:val="100"/>
          <w:kern w:val="2"/>
          <w:sz w:val="32"/>
          <w:szCs w:val="32"/>
          <w:lang w:val="en-US" w:eastAsia="zh-CN" w:bidi="ar-SA"/>
        </w:rPr>
        <w:t>日</w:t>
      </w:r>
    </w:p>
    <w:p w14:paraId="66685EC7"/>
    <w:p w14:paraId="2A5E6BA8">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right="0" w:firstLine="6384" w:firstLineChars="1400"/>
        <w:jc w:val="both"/>
        <w:textAlignment w:val="baseline"/>
        <w:rPr>
          <w:rFonts w:hint="eastAsia" w:ascii="仿宋" w:hAnsi="仿宋" w:eastAsia="仿宋" w:cs="仿宋"/>
          <w:color w:val="auto"/>
          <w:spacing w:val="68"/>
          <w:sz w:val="32"/>
          <w:szCs w:val="32"/>
          <w:u w:val="single"/>
          <w:lang w:val="en-US" w:eastAsia="zh-CN"/>
        </w:rPr>
      </w:pP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jljZTYxNTUzNmM1NDNmMmQ3ZWM5YmI4ODgxMjIifQ=="/>
  </w:docVars>
  <w:rsids>
    <w:rsidRoot w:val="3B9F3D19"/>
    <w:rsid w:val="0BC63B74"/>
    <w:rsid w:val="0EEC057A"/>
    <w:rsid w:val="0F6A0E1E"/>
    <w:rsid w:val="10892C41"/>
    <w:rsid w:val="1E8A2A3D"/>
    <w:rsid w:val="1ED24E6B"/>
    <w:rsid w:val="1EDD7021"/>
    <w:rsid w:val="25462E46"/>
    <w:rsid w:val="2AB54E7F"/>
    <w:rsid w:val="3B9F3D19"/>
    <w:rsid w:val="3F9B5BB1"/>
    <w:rsid w:val="42074515"/>
    <w:rsid w:val="446F1866"/>
    <w:rsid w:val="48D423BE"/>
    <w:rsid w:val="49D10ACC"/>
    <w:rsid w:val="4EC64BEA"/>
    <w:rsid w:val="4F0C50FB"/>
    <w:rsid w:val="5AD216C5"/>
    <w:rsid w:val="67D968F7"/>
    <w:rsid w:val="689E2EA1"/>
    <w:rsid w:val="6A047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autoRedefine/>
    <w:qFormat/>
    <w:uiPriority w:val="0"/>
  </w:style>
  <w:style w:type="paragraph" w:customStyle="1" w:styleId="7">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
    <w:name w:val="NormalCharacter"/>
    <w:autoRedefine/>
    <w:qFormat/>
    <w:uiPriority w:val="0"/>
    <w:rPr>
      <w:kern w:val="2"/>
      <w:sz w:val="21"/>
      <w:lang w:val="en-US" w:eastAsia="zh-CN" w:bidi="ar-SA"/>
    </w:rPr>
  </w:style>
  <w:style w:type="paragraph" w:customStyle="1" w:styleId="11">
    <w:name w:val="UserStyle_7"/>
    <w:autoRedefine/>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12">
    <w:name w:val="UserStyle_20"/>
    <w:autoRedefine/>
    <w:qFormat/>
    <w:uiPriority w:val="0"/>
    <w:pPr>
      <w:textAlignment w:val="baseline"/>
    </w:pPr>
    <w:rPr>
      <w:rFonts w:ascii="宋体" w:hAnsi="Calibri" w:eastAsia="宋体" w:cs="Times New Roman"/>
      <w:color w:val="000000"/>
      <w:sz w:val="24"/>
      <w:szCs w:val="24"/>
      <w:lang w:val="en-US" w:eastAsia="zh-CN" w:bidi="ar-SA"/>
    </w:rPr>
  </w:style>
  <w:style w:type="paragraph" w:customStyle="1" w:styleId="13">
    <w:name w:val="UserStyle_17"/>
    <w:autoRedefine/>
    <w:qFormat/>
    <w:uiPriority w:val="0"/>
    <w:pPr>
      <w:jc w:val="both"/>
      <w:textAlignment w:val="baseline"/>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1821</Words>
  <Characters>1966</Characters>
  <Lines>0</Lines>
  <Paragraphs>0</Paragraphs>
  <TotalTime>3</TotalTime>
  <ScaleCrop>false</ScaleCrop>
  <LinksUpToDate>false</LinksUpToDate>
  <CharactersWithSpaces>1968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2020-05-25T09:58:00Z</dcterms:created>
  <dc:creator>丽纱</dc:creator>
  <cp:lastModifiedBy>丽纱</cp:lastModifiedBy>
  <dcterms:modified xsi:type="dcterms:W3CDTF">2024-11-19T03:13:29Z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37A6BBA76E41482195666D465E33CC4F</vt:lpwstr>
  </property>
</Properties>
</file>