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04E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FF0000"/>
          <w:spacing w:val="68"/>
          <w:sz w:val="52"/>
          <w:szCs w:val="52"/>
          <w:u w:val="single"/>
          <w:lang w:val="en-US" w:eastAsia="zh-CN"/>
        </w:rPr>
      </w:pPr>
      <w:r>
        <w:rPr>
          <w:rFonts w:hint="eastAsia" w:ascii="方正小标宋简体" w:hAnsi="方正小标宋简体" w:eastAsia="方正小标宋简体" w:cs="方正小标宋简体"/>
          <w:color w:val="FF0000"/>
          <w:spacing w:val="68"/>
          <w:sz w:val="52"/>
          <w:szCs w:val="52"/>
          <w:u w:val="single"/>
          <w:lang w:val="en-US" w:eastAsia="zh-CN"/>
        </w:rPr>
        <w:t xml:space="preserve"> </w:t>
      </w:r>
      <w:r>
        <w:rPr>
          <w:rFonts w:hint="eastAsia" w:ascii="方正小标宋简体" w:hAnsi="方正小标宋简体" w:eastAsia="方正小标宋简体" w:cs="方正小标宋简体"/>
          <w:color w:val="FF0000"/>
          <w:spacing w:val="68"/>
          <w:sz w:val="52"/>
          <w:szCs w:val="52"/>
          <w:u w:val="single"/>
          <w:lang w:eastAsia="zh-CN"/>
        </w:rPr>
        <w:t>大同市生态环境局灵丘分局</w:t>
      </w:r>
      <w:r>
        <w:rPr>
          <w:rFonts w:hint="eastAsia" w:ascii="方正小标宋简体" w:hAnsi="方正小标宋简体" w:eastAsia="方正小标宋简体" w:cs="方正小标宋简体"/>
          <w:color w:val="FF0000"/>
          <w:spacing w:val="68"/>
          <w:sz w:val="52"/>
          <w:szCs w:val="52"/>
          <w:u w:val="single"/>
          <w:lang w:val="en-US" w:eastAsia="zh-CN"/>
        </w:rPr>
        <w:t xml:space="preserve"> </w:t>
      </w:r>
    </w:p>
    <w:p w14:paraId="1D3DB826">
      <w:pPr>
        <w:wordWrap w:val="0"/>
        <w:spacing w:line="600" w:lineRule="exact"/>
        <w:jc w:val="right"/>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eastAsia="zh-CN"/>
        </w:rPr>
        <w:t>灵环函〔</w:t>
      </w:r>
      <w:r>
        <w:rPr>
          <w:rFonts w:hint="eastAsia" w:ascii="仿宋" w:hAnsi="仿宋" w:eastAsia="仿宋" w:cs="仿宋"/>
          <w:spacing w:val="-11"/>
          <w:sz w:val="32"/>
          <w:szCs w:val="32"/>
          <w:lang w:val="en-US" w:eastAsia="zh-CN"/>
        </w:rPr>
        <w:t>2024〕14</w:t>
      </w:r>
      <w:bookmarkStart w:id="0" w:name="_GoBack"/>
      <w:bookmarkEnd w:id="0"/>
      <w:r>
        <w:rPr>
          <w:rFonts w:hint="eastAsia" w:ascii="仿宋" w:hAnsi="仿宋" w:eastAsia="仿宋" w:cs="仿宋"/>
          <w:spacing w:val="-11"/>
          <w:sz w:val="32"/>
          <w:szCs w:val="32"/>
          <w:lang w:val="en-US" w:eastAsia="zh-CN"/>
        </w:rPr>
        <w:t>号</w:t>
      </w:r>
    </w:p>
    <w:p w14:paraId="279015E8">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仿宋" w:hAnsi="仿宋" w:eastAsia="仿宋" w:cs="仿宋"/>
          <w:spacing w:val="-11"/>
          <w:sz w:val="21"/>
          <w:szCs w:val="21"/>
          <w:lang w:val="en-US" w:eastAsia="zh-CN"/>
        </w:rPr>
      </w:pPr>
    </w:p>
    <w:p w14:paraId="7CC3DC79">
      <w:pPr>
        <w:snapToGrid/>
        <w:spacing w:before="0" w:beforeAutospacing="0" w:after="0" w:afterAutospacing="0" w:line="600" w:lineRule="exact"/>
        <w:jc w:val="center"/>
        <w:textAlignment w:val="baseline"/>
        <w:rPr>
          <w:rStyle w:val="10"/>
          <w:rFonts w:hint="eastAsia" w:ascii="方正小标宋简体" w:hAnsi="方正小标宋简体" w:eastAsia="方正小标宋简体"/>
          <w:b w:val="0"/>
          <w:i w:val="0"/>
          <w:caps w:val="0"/>
          <w:spacing w:val="-11"/>
          <w:w w:val="100"/>
          <w:kern w:val="2"/>
          <w:sz w:val="44"/>
          <w:szCs w:val="44"/>
          <w:lang w:val="en-US" w:eastAsia="zh-CN" w:bidi="ar-SA"/>
        </w:rPr>
      </w:pPr>
      <w:r>
        <w:rPr>
          <w:rStyle w:val="10"/>
          <w:rFonts w:ascii="方正小标宋简体" w:hAnsi="方正小标宋简体" w:eastAsia="方正小标宋简体"/>
          <w:b w:val="0"/>
          <w:i w:val="0"/>
          <w:caps w:val="0"/>
          <w:spacing w:val="-11"/>
          <w:w w:val="100"/>
          <w:kern w:val="2"/>
          <w:sz w:val="44"/>
          <w:szCs w:val="44"/>
          <w:lang w:val="en-US" w:eastAsia="zh-CN" w:bidi="ar-SA"/>
        </w:rPr>
        <w:t>关于</w:t>
      </w:r>
      <w:r>
        <w:rPr>
          <w:rStyle w:val="10"/>
          <w:rFonts w:hint="eastAsia" w:ascii="方正小标宋简体" w:hAnsi="方正小标宋简体" w:eastAsia="方正小标宋简体"/>
          <w:b w:val="0"/>
          <w:i w:val="0"/>
          <w:caps w:val="0"/>
          <w:spacing w:val="-11"/>
          <w:w w:val="100"/>
          <w:kern w:val="2"/>
          <w:sz w:val="44"/>
          <w:szCs w:val="44"/>
          <w:lang w:val="en-US" w:eastAsia="zh-CN" w:bidi="ar-SA"/>
        </w:rPr>
        <w:t>灵丘县富森矿产品开发有限责任公司</w:t>
      </w:r>
    </w:p>
    <w:p w14:paraId="46E1730F">
      <w:pPr>
        <w:snapToGrid/>
        <w:spacing w:before="0" w:beforeAutospacing="0" w:after="0" w:afterAutospacing="0" w:line="600" w:lineRule="exact"/>
        <w:jc w:val="center"/>
        <w:textAlignment w:val="baseline"/>
        <w:rPr>
          <w:rStyle w:val="10"/>
          <w:rFonts w:hint="eastAsia" w:ascii="方正小标宋简体" w:hAnsi="方正小标宋简体" w:eastAsia="方正小标宋简体"/>
          <w:b w:val="0"/>
          <w:i w:val="0"/>
          <w:caps w:val="0"/>
          <w:spacing w:val="-11"/>
          <w:w w:val="100"/>
          <w:kern w:val="2"/>
          <w:sz w:val="44"/>
          <w:szCs w:val="44"/>
          <w:lang w:val="en-US" w:eastAsia="zh-CN" w:bidi="ar-SA"/>
        </w:rPr>
      </w:pPr>
      <w:r>
        <w:rPr>
          <w:rStyle w:val="10"/>
          <w:rFonts w:hint="eastAsia" w:ascii="方正小标宋简体" w:hAnsi="方正小标宋简体" w:eastAsia="方正小标宋简体"/>
          <w:b w:val="0"/>
          <w:i w:val="0"/>
          <w:caps w:val="0"/>
          <w:spacing w:val="-11"/>
          <w:w w:val="100"/>
          <w:kern w:val="2"/>
          <w:sz w:val="44"/>
          <w:szCs w:val="44"/>
          <w:lang w:val="en-US" w:eastAsia="zh-CN" w:bidi="ar-SA"/>
        </w:rPr>
        <w:t>年产5万吨除渣剂改扩建项目</w:t>
      </w:r>
    </w:p>
    <w:p w14:paraId="021B2290">
      <w:pPr>
        <w:snapToGrid/>
        <w:spacing w:before="0" w:beforeAutospacing="0" w:after="0" w:afterAutospacing="0" w:line="600" w:lineRule="exact"/>
        <w:jc w:val="center"/>
        <w:textAlignment w:val="baseline"/>
        <w:rPr>
          <w:rStyle w:val="10"/>
          <w:rFonts w:ascii="方正小标宋简体" w:hAnsi="方正小标宋简体" w:eastAsia="方正小标宋简体"/>
          <w:b w:val="0"/>
          <w:i w:val="0"/>
          <w:caps w:val="0"/>
          <w:spacing w:val="-11"/>
          <w:w w:val="100"/>
          <w:kern w:val="2"/>
          <w:sz w:val="44"/>
          <w:szCs w:val="44"/>
          <w:lang w:val="en-US" w:eastAsia="zh-CN" w:bidi="ar-SA"/>
        </w:rPr>
      </w:pPr>
      <w:r>
        <w:rPr>
          <w:rStyle w:val="10"/>
          <w:rFonts w:ascii="方正小标宋简体" w:hAnsi="方正小标宋简体" w:eastAsia="方正小标宋简体"/>
          <w:b w:val="0"/>
          <w:i w:val="0"/>
          <w:caps w:val="0"/>
          <w:spacing w:val="-11"/>
          <w:w w:val="100"/>
          <w:kern w:val="2"/>
          <w:sz w:val="44"/>
          <w:szCs w:val="44"/>
          <w:lang w:val="en-US" w:eastAsia="zh-CN" w:bidi="ar-SA"/>
        </w:rPr>
        <w:t>环境影响报告表的批复</w:t>
      </w:r>
    </w:p>
    <w:p w14:paraId="7CD2CD42">
      <w:pPr>
        <w:snapToGrid/>
        <w:spacing w:before="0" w:beforeAutospacing="0" w:after="0" w:afterAutospacing="0" w:line="240" w:lineRule="auto"/>
        <w:jc w:val="center"/>
        <w:textAlignment w:val="baseline"/>
        <w:rPr>
          <w:rStyle w:val="10"/>
          <w:rFonts w:ascii="仿宋_GB2312" w:hAnsi="仿宋_GB2312" w:eastAsia="仿宋_GB2312"/>
          <w:b w:val="0"/>
          <w:i w:val="0"/>
          <w:caps w:val="0"/>
          <w:spacing w:val="0"/>
          <w:w w:val="100"/>
          <w:kern w:val="2"/>
          <w:sz w:val="21"/>
          <w:szCs w:val="21"/>
          <w:lang w:val="en-US" w:eastAsia="zh-CN" w:bidi="ar-SA"/>
        </w:rPr>
      </w:pPr>
    </w:p>
    <w:p w14:paraId="063503CE">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hint="eastAsia" w:ascii="仿宋_GB2312" w:hAnsi="仿宋" w:eastAsia="仿宋_GB2312"/>
          <w:b w:val="0"/>
          <w:i w:val="0"/>
          <w:caps w:val="0"/>
          <w:spacing w:val="0"/>
          <w:w w:val="100"/>
          <w:kern w:val="2"/>
          <w:sz w:val="32"/>
          <w:szCs w:val="32"/>
          <w:lang w:val="en-US" w:eastAsia="zh-CN" w:bidi="ar-SA"/>
        </w:rPr>
        <w:t>灵丘县富森矿产品开发有限责任公司</w:t>
      </w:r>
      <w:r>
        <w:rPr>
          <w:rStyle w:val="10"/>
          <w:rFonts w:ascii="仿宋_GB2312" w:hAnsi="仿宋_GB2312" w:eastAsia="仿宋_GB2312"/>
          <w:b w:val="0"/>
          <w:i w:val="0"/>
          <w:caps w:val="0"/>
          <w:spacing w:val="0"/>
          <w:w w:val="100"/>
          <w:kern w:val="2"/>
          <w:sz w:val="32"/>
          <w:szCs w:val="32"/>
          <w:lang w:val="en-US" w:eastAsia="zh-CN" w:bidi="ar-SA"/>
        </w:rPr>
        <w:t>：</w:t>
      </w:r>
    </w:p>
    <w:p w14:paraId="6F65E393">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Style w:val="10"/>
          <w:rFonts w:ascii="仿宋_GB2312" w:hAnsi="仿宋" w:eastAsia="仿宋_GB2312"/>
          <w:b w:val="0"/>
          <w:i w:val="0"/>
          <w:caps w:val="0"/>
          <w:spacing w:val="0"/>
          <w:w w:val="100"/>
          <w:kern w:val="2"/>
          <w:sz w:val="32"/>
          <w:szCs w:val="32"/>
          <w:lang w:val="en-US" w:eastAsia="zh-CN" w:bidi="ar-SA"/>
        </w:rPr>
      </w:pPr>
      <w:r>
        <w:rPr>
          <w:rStyle w:val="10"/>
          <w:rFonts w:ascii="仿宋_GB2312" w:hAnsi="仿宋" w:eastAsia="仿宋_GB2312"/>
          <w:b w:val="0"/>
          <w:i w:val="0"/>
          <w:caps w:val="0"/>
          <w:spacing w:val="0"/>
          <w:w w:val="100"/>
          <w:kern w:val="2"/>
          <w:sz w:val="32"/>
          <w:szCs w:val="32"/>
          <w:lang w:val="en-US" w:eastAsia="zh-CN" w:bidi="ar-SA"/>
        </w:rPr>
        <w:t>你公司</w:t>
      </w:r>
      <w:r>
        <w:rPr>
          <w:rStyle w:val="10"/>
          <w:rFonts w:hint="eastAsia" w:ascii="仿宋_GB2312" w:hAnsi="仿宋" w:eastAsia="仿宋_GB2312"/>
          <w:b w:val="0"/>
          <w:i w:val="0"/>
          <w:caps w:val="0"/>
          <w:spacing w:val="0"/>
          <w:w w:val="100"/>
          <w:kern w:val="2"/>
          <w:sz w:val="32"/>
          <w:szCs w:val="32"/>
          <w:lang w:val="en-US" w:eastAsia="zh-CN" w:bidi="ar-SA"/>
        </w:rPr>
        <w:t>关于</w:t>
      </w:r>
      <w:r>
        <w:rPr>
          <w:rStyle w:val="10"/>
          <w:rFonts w:ascii="仿宋_GB2312" w:hAnsi="仿宋" w:eastAsia="仿宋_GB2312"/>
          <w:b w:val="0"/>
          <w:i w:val="0"/>
          <w:caps w:val="0"/>
          <w:spacing w:val="0"/>
          <w:w w:val="100"/>
          <w:kern w:val="2"/>
          <w:sz w:val="32"/>
          <w:szCs w:val="32"/>
          <w:lang w:val="en-US" w:eastAsia="zh-CN" w:bidi="ar-SA"/>
        </w:rPr>
        <w:t>《</w:t>
      </w:r>
      <w:r>
        <w:rPr>
          <w:rStyle w:val="10"/>
          <w:rFonts w:hint="eastAsia" w:ascii="仿宋_GB2312" w:hAnsi="仿宋" w:eastAsia="仿宋_GB2312"/>
          <w:b w:val="0"/>
          <w:i w:val="0"/>
          <w:caps w:val="0"/>
          <w:spacing w:val="0"/>
          <w:w w:val="100"/>
          <w:kern w:val="2"/>
          <w:sz w:val="32"/>
          <w:szCs w:val="32"/>
          <w:lang w:val="en-US" w:eastAsia="zh-CN" w:bidi="ar-SA"/>
        </w:rPr>
        <w:t>灵丘县富森矿产品开发有限责任公司年产5万吨除渣剂改扩建项目</w:t>
      </w:r>
      <w:r>
        <w:rPr>
          <w:rStyle w:val="10"/>
          <w:rFonts w:ascii="仿宋_GB2312" w:hAnsi="仿宋" w:eastAsia="仿宋_GB2312"/>
          <w:b w:val="0"/>
          <w:i w:val="0"/>
          <w:caps w:val="0"/>
          <w:spacing w:val="0"/>
          <w:w w:val="100"/>
          <w:kern w:val="2"/>
          <w:sz w:val="32"/>
          <w:szCs w:val="32"/>
          <w:lang w:val="en-US" w:eastAsia="zh-CN" w:bidi="ar-SA"/>
        </w:rPr>
        <w:t>环境影响报告表》（以下简称《报</w:t>
      </w:r>
      <w:r>
        <w:rPr>
          <w:rStyle w:val="10"/>
          <w:rFonts w:ascii="仿宋_GB2312" w:hAnsi="仿宋" w:eastAsia="仿宋_GB2312"/>
          <w:b w:val="0"/>
          <w:i w:val="0"/>
          <w:caps w:val="0"/>
          <w:spacing w:val="-6"/>
          <w:w w:val="100"/>
          <w:kern w:val="2"/>
          <w:sz w:val="32"/>
          <w:szCs w:val="32"/>
          <w:lang w:val="en-US" w:eastAsia="zh-CN" w:bidi="ar-SA"/>
        </w:rPr>
        <w:t>告表》）相关材料收悉。</w:t>
      </w:r>
      <w:r>
        <w:rPr>
          <w:rStyle w:val="10"/>
          <w:rFonts w:hint="eastAsia" w:ascii="仿宋_GB2312" w:hAnsi="仿宋" w:eastAsia="仿宋_GB2312"/>
          <w:b w:val="0"/>
          <w:i w:val="0"/>
          <w:caps w:val="0"/>
          <w:spacing w:val="-6"/>
          <w:w w:val="100"/>
          <w:kern w:val="2"/>
          <w:sz w:val="32"/>
          <w:szCs w:val="32"/>
          <w:lang w:val="en-US" w:eastAsia="zh-CN" w:bidi="ar-SA"/>
        </w:rPr>
        <w:t>结合大同市生态环境评估中心出具的，《关于&lt;灵丘县富森矿产品开发有限责任公司</w:t>
      </w:r>
      <w:r>
        <w:rPr>
          <w:rStyle w:val="10"/>
          <w:rFonts w:hint="eastAsia" w:ascii="仿宋_GB2312" w:hAnsi="仿宋" w:eastAsia="仿宋_GB2312"/>
          <w:b w:val="0"/>
          <w:i w:val="0"/>
          <w:caps w:val="0"/>
          <w:spacing w:val="0"/>
          <w:w w:val="100"/>
          <w:kern w:val="2"/>
          <w:sz w:val="32"/>
          <w:szCs w:val="32"/>
          <w:lang w:val="en-US" w:eastAsia="zh-CN" w:bidi="ar-SA"/>
        </w:rPr>
        <w:t>年产5万吨除渣剂改扩建项目</w:t>
      </w:r>
      <w:r>
        <w:rPr>
          <w:rStyle w:val="10"/>
          <w:rFonts w:hint="eastAsia" w:ascii="仿宋_GB2312" w:hAnsi="仿宋" w:eastAsia="仿宋_GB2312"/>
          <w:b w:val="0"/>
          <w:i w:val="0"/>
          <w:caps w:val="0"/>
          <w:spacing w:val="-6"/>
          <w:w w:val="100"/>
          <w:kern w:val="2"/>
          <w:sz w:val="32"/>
          <w:szCs w:val="32"/>
          <w:lang w:val="en-US" w:eastAsia="zh-CN" w:bidi="ar-SA"/>
        </w:rPr>
        <w:t>环境影响报告表&gt;的技术评估报告》，</w:t>
      </w:r>
      <w:r>
        <w:rPr>
          <w:rStyle w:val="10"/>
          <w:rFonts w:ascii="仿宋_GB2312" w:hAnsi="仿宋_GB2312" w:eastAsia="仿宋_GB2312"/>
          <w:b w:val="0"/>
          <w:i w:val="0"/>
          <w:caps w:val="0"/>
          <w:spacing w:val="-6"/>
          <w:w w:val="100"/>
          <w:kern w:val="2"/>
          <w:sz w:val="32"/>
          <w:szCs w:val="32"/>
          <w:lang w:val="en-US" w:eastAsia="zh-CN" w:bidi="ar-SA"/>
        </w:rPr>
        <w:t>经研究，批复如下：</w:t>
      </w:r>
    </w:p>
    <w:p w14:paraId="060651D7">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10"/>
          <w:rFonts w:ascii="仿宋_GB2312" w:hAnsi="仿宋_GB2312" w:eastAsia="仿宋_GB2312"/>
          <w:b w:val="0"/>
          <w:i w:val="0"/>
          <w:caps w:val="0"/>
          <w:color w:val="000000"/>
          <w:spacing w:val="0"/>
          <w:w w:val="100"/>
          <w:sz w:val="32"/>
          <w:szCs w:val="32"/>
          <w:lang w:val="en-US" w:eastAsia="zh-CN" w:bidi="ar-SA"/>
        </w:rPr>
      </w:pPr>
      <w:r>
        <w:rPr>
          <w:rStyle w:val="10"/>
          <w:rFonts w:ascii="仿宋_GB2312" w:hAnsi="仿宋" w:eastAsia="仿宋_GB2312"/>
          <w:b w:val="0"/>
          <w:i w:val="0"/>
          <w:caps w:val="0"/>
          <w:color w:val="000000"/>
          <w:spacing w:val="0"/>
          <w:w w:val="100"/>
          <w:sz w:val="32"/>
          <w:szCs w:val="32"/>
          <w:lang w:val="en-US" w:eastAsia="zh-CN" w:bidi="ar-SA"/>
        </w:rPr>
        <w:t>一、该项目</w:t>
      </w:r>
      <w:r>
        <w:rPr>
          <w:rStyle w:val="10"/>
          <w:rFonts w:hint="eastAsia" w:ascii="仿宋_GB2312" w:hAnsi="仿宋" w:eastAsia="仿宋_GB2312"/>
          <w:b w:val="0"/>
          <w:i w:val="0"/>
          <w:caps w:val="0"/>
          <w:color w:val="000000"/>
          <w:spacing w:val="0"/>
          <w:w w:val="100"/>
          <w:sz w:val="32"/>
          <w:szCs w:val="32"/>
          <w:lang w:val="en-US" w:eastAsia="zh-CN" w:bidi="ar-SA"/>
        </w:rPr>
        <w:t>位于山西省大同市灵丘县武灵镇东驼水村北侧1.08km处</w:t>
      </w:r>
      <w:r>
        <w:rPr>
          <w:rStyle w:val="10"/>
          <w:rFonts w:hint="eastAsia" w:ascii="仿宋_GB2312" w:hAnsi="仿宋" w:eastAsia="仿宋_GB2312"/>
          <w:b w:val="0"/>
          <w:i w:val="0"/>
          <w:caps w:val="0"/>
          <w:color w:val="auto"/>
          <w:spacing w:val="0"/>
          <w:w w:val="100"/>
          <w:sz w:val="32"/>
          <w:szCs w:val="32"/>
          <w:lang w:val="en-US" w:eastAsia="zh-CN" w:bidi="ar-SA"/>
        </w:rPr>
        <w:t>。</w:t>
      </w:r>
      <w:r>
        <w:rPr>
          <w:rStyle w:val="10"/>
          <w:rFonts w:hint="eastAsia" w:ascii="仿宋_GB2312" w:hAnsi="仿宋" w:eastAsia="仿宋_GB2312" w:cs="Times New Roman"/>
          <w:b w:val="0"/>
          <w:i w:val="0"/>
          <w:caps w:val="0"/>
          <w:color w:val="000000"/>
          <w:spacing w:val="0"/>
          <w:w w:val="100"/>
          <w:sz w:val="32"/>
          <w:szCs w:val="32"/>
          <w:lang w:val="en-US" w:eastAsia="zh-CN" w:bidi="ar-SA"/>
        </w:rPr>
        <w:t>在现有闲置旧厂房内建设1条年产5万吨珍珠岩除渣剂生产线，利用17m</w:t>
      </w:r>
      <w:r>
        <w:rPr>
          <w:rStyle w:val="10"/>
          <w:rFonts w:hint="eastAsia" w:ascii="仿宋_GB2312" w:hAnsi="仿宋" w:eastAsia="仿宋_GB2312" w:cs="Times New Roman"/>
          <w:b w:val="0"/>
          <w:i w:val="0"/>
          <w:caps w:val="0"/>
          <w:color w:val="000000"/>
          <w:spacing w:val="0"/>
          <w:w w:val="100"/>
          <w:sz w:val="32"/>
          <w:szCs w:val="32"/>
          <w:vertAlign w:val="superscript"/>
          <w:lang w:val="en-US" w:eastAsia="zh-CN" w:bidi="ar-SA"/>
        </w:rPr>
        <w:t>3</w:t>
      </w:r>
      <w:r>
        <w:rPr>
          <w:rStyle w:val="10"/>
          <w:rFonts w:hint="eastAsia" w:ascii="仿宋_GB2312" w:hAnsi="仿宋" w:eastAsia="仿宋_GB2312" w:cs="Times New Roman"/>
          <w:b w:val="0"/>
          <w:i w:val="0"/>
          <w:caps w:val="0"/>
          <w:color w:val="000000"/>
          <w:spacing w:val="0"/>
          <w:w w:val="100"/>
          <w:sz w:val="32"/>
          <w:szCs w:val="32"/>
          <w:lang w:val="en-US" w:eastAsia="zh-CN" w:bidi="ar-SA"/>
        </w:rPr>
        <w:t>冶炼富锰渣高炉项目的高炉尾气余热，经余热回收系统回收尾气余热后用于加热本项目焙烧炉助燃空气，再利用甲醇燃料燃烧加热空气至生产所需温度400℃。并配备提升机、焙烧炉、冷却床、高压风机、除尘机等设备及相应的环保设施。总建筑面积1414m</w:t>
      </w:r>
      <w:r>
        <w:rPr>
          <w:rStyle w:val="10"/>
          <w:rFonts w:hint="eastAsia" w:ascii="仿宋_GB2312" w:hAnsi="仿宋" w:eastAsia="仿宋_GB2312" w:cs="Times New Roman"/>
          <w:b w:val="0"/>
          <w:i w:val="0"/>
          <w:caps w:val="0"/>
          <w:color w:val="000000"/>
          <w:spacing w:val="0"/>
          <w:w w:val="100"/>
          <w:sz w:val="32"/>
          <w:szCs w:val="32"/>
          <w:vertAlign w:val="superscript"/>
          <w:lang w:val="en-US" w:eastAsia="zh-CN" w:bidi="ar-SA"/>
        </w:rPr>
        <w:t>2</w:t>
      </w:r>
      <w:r>
        <w:rPr>
          <w:rStyle w:val="10"/>
          <w:rFonts w:hint="eastAsia" w:ascii="仿宋_GB2312" w:hAnsi="仿宋" w:eastAsia="仿宋_GB2312" w:cs="Times New Roman"/>
          <w:b w:val="0"/>
          <w:i w:val="0"/>
          <w:caps w:val="0"/>
          <w:color w:val="000000"/>
          <w:spacing w:val="0"/>
          <w:w w:val="100"/>
          <w:sz w:val="32"/>
          <w:szCs w:val="32"/>
          <w:lang w:val="en-US" w:eastAsia="zh-CN" w:bidi="ar-SA"/>
        </w:rPr>
        <w:t>，将原有闲置旧厂房1414m</w:t>
      </w:r>
      <w:r>
        <w:rPr>
          <w:rStyle w:val="10"/>
          <w:rFonts w:hint="eastAsia" w:ascii="仿宋_GB2312" w:hAnsi="仿宋" w:eastAsia="仿宋_GB2312" w:cs="Times New Roman"/>
          <w:b w:val="0"/>
          <w:i w:val="0"/>
          <w:caps w:val="0"/>
          <w:color w:val="000000"/>
          <w:spacing w:val="0"/>
          <w:w w:val="100"/>
          <w:sz w:val="32"/>
          <w:szCs w:val="32"/>
          <w:vertAlign w:val="superscript"/>
          <w:lang w:val="en-US" w:eastAsia="zh-CN" w:bidi="ar-SA"/>
        </w:rPr>
        <w:t>2</w:t>
      </w:r>
      <w:r>
        <w:rPr>
          <w:rStyle w:val="10"/>
          <w:rFonts w:hint="eastAsia" w:ascii="仿宋_GB2312" w:hAnsi="仿宋" w:eastAsia="仿宋_GB2312" w:cs="Times New Roman"/>
          <w:b w:val="0"/>
          <w:i w:val="0"/>
          <w:caps w:val="0"/>
          <w:color w:val="000000"/>
          <w:spacing w:val="0"/>
          <w:w w:val="100"/>
          <w:sz w:val="32"/>
          <w:szCs w:val="32"/>
          <w:lang w:val="en-US" w:eastAsia="zh-CN" w:bidi="ar-SA"/>
        </w:rPr>
        <w:t>改造成1座生产车间（占地面积324m</w:t>
      </w:r>
      <w:r>
        <w:rPr>
          <w:rStyle w:val="10"/>
          <w:rFonts w:hint="eastAsia" w:ascii="仿宋_GB2312" w:hAnsi="仿宋" w:eastAsia="仿宋_GB2312" w:cs="Times New Roman"/>
          <w:b w:val="0"/>
          <w:i w:val="0"/>
          <w:caps w:val="0"/>
          <w:color w:val="000000"/>
          <w:spacing w:val="0"/>
          <w:w w:val="100"/>
          <w:sz w:val="32"/>
          <w:szCs w:val="32"/>
          <w:vertAlign w:val="superscript"/>
          <w:lang w:val="en-US" w:eastAsia="zh-CN" w:bidi="ar-SA"/>
        </w:rPr>
        <w:t>2</w:t>
      </w:r>
      <w:r>
        <w:rPr>
          <w:rStyle w:val="10"/>
          <w:rFonts w:hint="eastAsia" w:ascii="仿宋_GB2312" w:hAnsi="仿宋" w:eastAsia="仿宋_GB2312" w:cs="Times New Roman"/>
          <w:b w:val="0"/>
          <w:i w:val="0"/>
          <w:caps w:val="0"/>
          <w:color w:val="000000"/>
          <w:spacing w:val="0"/>
          <w:w w:val="100"/>
          <w:sz w:val="32"/>
          <w:szCs w:val="32"/>
          <w:lang w:val="en-US" w:eastAsia="zh-CN" w:bidi="ar-SA"/>
        </w:rPr>
        <w:t>）、1座原料储存库（占地面积260m</w:t>
      </w:r>
      <w:r>
        <w:rPr>
          <w:rStyle w:val="10"/>
          <w:rFonts w:hint="eastAsia" w:ascii="仿宋_GB2312" w:hAnsi="仿宋" w:eastAsia="仿宋_GB2312" w:cs="Times New Roman"/>
          <w:b w:val="0"/>
          <w:i w:val="0"/>
          <w:caps w:val="0"/>
          <w:color w:val="000000"/>
          <w:spacing w:val="0"/>
          <w:w w:val="100"/>
          <w:sz w:val="32"/>
          <w:szCs w:val="32"/>
          <w:vertAlign w:val="superscript"/>
          <w:lang w:val="en-US" w:eastAsia="zh-CN" w:bidi="ar-SA"/>
        </w:rPr>
        <w:t>2</w:t>
      </w:r>
      <w:r>
        <w:rPr>
          <w:rStyle w:val="10"/>
          <w:rFonts w:hint="eastAsia" w:ascii="仿宋_GB2312" w:hAnsi="仿宋" w:eastAsia="仿宋_GB2312" w:cs="Times New Roman"/>
          <w:b w:val="0"/>
          <w:i w:val="0"/>
          <w:caps w:val="0"/>
          <w:color w:val="000000"/>
          <w:spacing w:val="0"/>
          <w:w w:val="100"/>
          <w:sz w:val="32"/>
          <w:szCs w:val="32"/>
          <w:lang w:val="en-US" w:eastAsia="zh-CN" w:bidi="ar-SA"/>
        </w:rPr>
        <w:t>）、1座成品储存库（占地面积830m</w:t>
      </w:r>
      <w:r>
        <w:rPr>
          <w:rStyle w:val="10"/>
          <w:rFonts w:hint="eastAsia" w:ascii="仿宋_GB2312" w:hAnsi="仿宋" w:eastAsia="仿宋_GB2312" w:cs="Times New Roman"/>
          <w:b w:val="0"/>
          <w:i w:val="0"/>
          <w:caps w:val="0"/>
          <w:color w:val="000000"/>
          <w:spacing w:val="0"/>
          <w:w w:val="100"/>
          <w:sz w:val="32"/>
          <w:szCs w:val="32"/>
          <w:vertAlign w:val="superscript"/>
          <w:lang w:val="en-US" w:eastAsia="zh-CN" w:bidi="ar-SA"/>
        </w:rPr>
        <w:t>2</w:t>
      </w:r>
      <w:r>
        <w:rPr>
          <w:rStyle w:val="10"/>
          <w:rFonts w:hint="eastAsia" w:ascii="仿宋_GB2312" w:hAnsi="仿宋" w:eastAsia="仿宋_GB2312" w:cs="Times New Roman"/>
          <w:b w:val="0"/>
          <w:i w:val="0"/>
          <w:caps w:val="0"/>
          <w:color w:val="000000"/>
          <w:spacing w:val="0"/>
          <w:w w:val="100"/>
          <w:sz w:val="32"/>
          <w:szCs w:val="32"/>
          <w:lang w:val="en-US" w:eastAsia="zh-CN" w:bidi="ar-SA"/>
        </w:rPr>
        <w:t>）。</w:t>
      </w:r>
      <w:r>
        <w:rPr>
          <w:rStyle w:val="10"/>
          <w:rFonts w:ascii="仿宋_GB2312" w:hAnsi="仿宋" w:eastAsia="仿宋_GB2312"/>
          <w:b w:val="0"/>
          <w:i w:val="0"/>
          <w:caps w:val="0"/>
          <w:color w:val="auto"/>
          <w:spacing w:val="0"/>
          <w:w w:val="100"/>
          <w:sz w:val="32"/>
          <w:szCs w:val="32"/>
          <w:lang w:val="en-US" w:eastAsia="zh-CN" w:bidi="ar-SA"/>
        </w:rPr>
        <w:t>项目总投资为</w:t>
      </w:r>
      <w:r>
        <w:rPr>
          <w:rStyle w:val="10"/>
          <w:rFonts w:hint="eastAsia" w:ascii="仿宋_GB2312" w:hAnsi="仿宋" w:eastAsia="仿宋_GB2312"/>
          <w:b w:val="0"/>
          <w:i w:val="0"/>
          <w:caps w:val="0"/>
          <w:color w:val="auto"/>
          <w:spacing w:val="0"/>
          <w:w w:val="100"/>
          <w:sz w:val="32"/>
          <w:szCs w:val="32"/>
          <w:lang w:val="en-US" w:eastAsia="zh-CN" w:bidi="ar-SA"/>
        </w:rPr>
        <w:t>229.46</w:t>
      </w:r>
      <w:r>
        <w:rPr>
          <w:rStyle w:val="10"/>
          <w:rFonts w:ascii="仿宋_GB2312" w:hAnsi="仿宋" w:eastAsia="仿宋_GB2312"/>
          <w:b w:val="0"/>
          <w:i w:val="0"/>
          <w:caps w:val="0"/>
          <w:color w:val="auto"/>
          <w:spacing w:val="0"/>
          <w:w w:val="100"/>
          <w:sz w:val="32"/>
          <w:szCs w:val="32"/>
          <w:lang w:val="en-US" w:eastAsia="zh-CN" w:bidi="ar-SA"/>
        </w:rPr>
        <w:t>万元，环保投资</w:t>
      </w:r>
      <w:r>
        <w:rPr>
          <w:rStyle w:val="10"/>
          <w:rFonts w:hint="eastAsia" w:ascii="仿宋_GB2312" w:hAnsi="仿宋" w:eastAsia="仿宋_GB2312"/>
          <w:b w:val="0"/>
          <w:i w:val="0"/>
          <w:caps w:val="0"/>
          <w:color w:val="auto"/>
          <w:spacing w:val="0"/>
          <w:w w:val="100"/>
          <w:sz w:val="32"/>
          <w:szCs w:val="32"/>
          <w:lang w:val="en-US" w:eastAsia="zh-CN" w:bidi="ar-SA"/>
        </w:rPr>
        <w:t>29</w:t>
      </w:r>
      <w:r>
        <w:rPr>
          <w:rStyle w:val="10"/>
          <w:rFonts w:ascii="仿宋_GB2312" w:hAnsi="仿宋" w:eastAsia="仿宋_GB2312"/>
          <w:b w:val="0"/>
          <w:i w:val="0"/>
          <w:caps w:val="0"/>
          <w:color w:val="auto"/>
          <w:spacing w:val="0"/>
          <w:w w:val="100"/>
          <w:sz w:val="32"/>
          <w:szCs w:val="32"/>
          <w:lang w:val="en-US" w:eastAsia="zh-CN" w:bidi="ar-SA"/>
        </w:rPr>
        <w:t>万元，占总投资比例的</w:t>
      </w:r>
      <w:r>
        <w:rPr>
          <w:rStyle w:val="10"/>
          <w:rFonts w:hint="eastAsia" w:ascii="仿宋_GB2312" w:hAnsi="仿宋" w:eastAsia="仿宋_GB2312"/>
          <w:b w:val="0"/>
          <w:i w:val="0"/>
          <w:caps w:val="0"/>
          <w:color w:val="auto"/>
          <w:spacing w:val="0"/>
          <w:w w:val="100"/>
          <w:sz w:val="32"/>
          <w:szCs w:val="32"/>
          <w:lang w:val="en-US" w:eastAsia="zh-CN" w:bidi="ar-SA"/>
        </w:rPr>
        <w:t>12.64%</w:t>
      </w:r>
      <w:r>
        <w:rPr>
          <w:rStyle w:val="10"/>
          <w:rFonts w:ascii="仿宋_GB2312" w:hAnsi="仿宋" w:eastAsia="仿宋_GB2312"/>
          <w:b w:val="0"/>
          <w:i w:val="0"/>
          <w:caps w:val="0"/>
          <w:color w:val="auto"/>
          <w:spacing w:val="0"/>
          <w:w w:val="100"/>
          <w:sz w:val="32"/>
          <w:szCs w:val="32"/>
          <w:lang w:val="en-US" w:eastAsia="zh-CN" w:bidi="ar-SA"/>
        </w:rPr>
        <w:t>。</w:t>
      </w:r>
      <w:r>
        <w:rPr>
          <w:rStyle w:val="10"/>
          <w:rFonts w:hint="eastAsia" w:ascii="仿宋_GB2312" w:hAnsi="仿宋" w:eastAsia="仿宋_GB2312"/>
          <w:b w:val="0"/>
          <w:i w:val="0"/>
          <w:caps w:val="0"/>
          <w:color w:val="000000"/>
          <w:spacing w:val="0"/>
          <w:w w:val="100"/>
          <w:sz w:val="32"/>
          <w:szCs w:val="32"/>
          <w:lang w:val="en-US" w:eastAsia="zh-CN" w:bidi="ar-SA"/>
        </w:rPr>
        <w:t>根据国家发改委令2023年第7号《产业结构调整指导目录（2024年本）》，该项目不属于限制及淘汰类项目。</w:t>
      </w:r>
      <w:r>
        <w:rPr>
          <w:rStyle w:val="10"/>
          <w:rFonts w:hint="eastAsia" w:ascii="仿宋_GB2312" w:hAnsi="仿宋" w:eastAsia="仿宋_GB2312"/>
          <w:b w:val="0"/>
          <w:i w:val="0"/>
          <w:caps w:val="0"/>
          <w:color w:val="000000"/>
          <w:spacing w:val="-11"/>
          <w:w w:val="100"/>
          <w:sz w:val="32"/>
          <w:szCs w:val="32"/>
          <w:lang w:val="en-US" w:eastAsia="zh-CN" w:bidi="ar-SA"/>
        </w:rPr>
        <w:t>灵丘县工业和信息化局于2024年1月31日对项目予以备案，项目代码：2401-140224-89-02-244575。</w:t>
      </w:r>
      <w:r>
        <w:rPr>
          <w:rStyle w:val="10"/>
          <w:rFonts w:ascii="仿宋_GB2312" w:hAnsi="仿宋" w:eastAsia="仿宋_GB2312"/>
          <w:b w:val="0"/>
          <w:i w:val="0"/>
          <w:caps w:val="0"/>
          <w:color w:val="000000"/>
          <w:spacing w:val="0"/>
          <w:w w:val="100"/>
          <w:sz w:val="32"/>
          <w:szCs w:val="32"/>
          <w:lang w:val="en-US" w:eastAsia="zh-CN" w:bidi="ar-SA"/>
        </w:rPr>
        <w:t>在全面落实《报告表》提出的污染防治和生态保护措施的前提下，工程建设对环境的不利影响可得到缓解和控制。我</w:t>
      </w:r>
      <w:r>
        <w:rPr>
          <w:rStyle w:val="10"/>
          <w:rFonts w:hint="eastAsia" w:ascii="仿宋_GB2312" w:hAnsi="仿宋" w:eastAsia="仿宋_GB2312"/>
          <w:b w:val="0"/>
          <w:i w:val="0"/>
          <w:caps w:val="0"/>
          <w:color w:val="000000"/>
          <w:spacing w:val="0"/>
          <w:w w:val="100"/>
          <w:sz w:val="32"/>
          <w:szCs w:val="32"/>
          <w:lang w:val="en-US" w:eastAsia="zh-CN" w:bidi="ar-SA"/>
        </w:rPr>
        <w:t>分</w:t>
      </w:r>
      <w:r>
        <w:rPr>
          <w:rStyle w:val="10"/>
          <w:rFonts w:ascii="仿宋_GB2312" w:hAnsi="仿宋" w:eastAsia="仿宋_GB2312"/>
          <w:b w:val="0"/>
          <w:i w:val="0"/>
          <w:caps w:val="0"/>
          <w:color w:val="000000"/>
          <w:spacing w:val="0"/>
          <w:w w:val="100"/>
          <w:sz w:val="32"/>
          <w:szCs w:val="32"/>
          <w:lang w:val="en-US" w:eastAsia="zh-CN" w:bidi="ar-SA"/>
        </w:rPr>
        <w:t>局原则同意《报告表》所列建设项</w:t>
      </w:r>
      <w:r>
        <w:rPr>
          <w:rStyle w:val="10"/>
          <w:rFonts w:ascii="仿宋_GB2312" w:hAnsi="仿宋" w:eastAsia="仿宋_GB2312"/>
          <w:b w:val="0"/>
          <w:i w:val="0"/>
          <w:caps w:val="0"/>
          <w:color w:val="000000"/>
          <w:spacing w:val="-6"/>
          <w:w w:val="100"/>
          <w:sz w:val="32"/>
          <w:szCs w:val="32"/>
          <w:lang w:val="en-US" w:eastAsia="zh-CN" w:bidi="ar-SA"/>
        </w:rPr>
        <w:t>目的性质、规模、地点、采用的生产工艺和采取的环境保护措施。</w:t>
      </w:r>
    </w:p>
    <w:p w14:paraId="1AFAAB05">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二、</w:t>
      </w:r>
      <w:r>
        <w:rPr>
          <w:rStyle w:val="10"/>
          <w:rFonts w:ascii="仿宋_GB2312" w:hAnsi="仿宋_GB2312" w:eastAsia="仿宋_GB2312"/>
          <w:b w:val="0"/>
          <w:i w:val="0"/>
          <w:caps w:val="0"/>
          <w:color w:val="000000"/>
          <w:spacing w:val="0"/>
          <w:w w:val="100"/>
          <w:kern w:val="2"/>
          <w:sz w:val="32"/>
          <w:szCs w:val="32"/>
          <w:lang w:val="en-US" w:eastAsia="zh-CN" w:bidi="ar-SA"/>
        </w:rPr>
        <w:t>在项目建设和运行管理中，必须对照《报告表》逐一落实各项环保对策措施，重点做好以下工作：</w:t>
      </w:r>
    </w:p>
    <w:p w14:paraId="2F302699">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ascii="仿宋_GB2312" w:hAnsi="仿宋_GB2312" w:eastAsia="仿宋_GB2312"/>
          <w:b w:val="0"/>
          <w:i w:val="0"/>
          <w:caps w:val="0"/>
          <w:color w:val="000000"/>
          <w:spacing w:val="0"/>
          <w:w w:val="100"/>
          <w:kern w:val="2"/>
          <w:sz w:val="32"/>
          <w:szCs w:val="32"/>
          <w:lang w:val="en-US" w:eastAsia="zh-CN" w:bidi="ar-SA"/>
        </w:rPr>
        <w:t>1、认真做好施工期环境保护工作，</w:t>
      </w:r>
      <w:r>
        <w:rPr>
          <w:rStyle w:val="10"/>
          <w:rFonts w:hint="eastAsia" w:ascii="仿宋_GB2312" w:hAnsi="仿宋_GB2312" w:eastAsia="仿宋_GB2312"/>
          <w:b w:val="0"/>
          <w:i w:val="0"/>
          <w:caps w:val="0"/>
          <w:color w:val="000000"/>
          <w:spacing w:val="0"/>
          <w:w w:val="100"/>
          <w:kern w:val="2"/>
          <w:sz w:val="32"/>
          <w:szCs w:val="32"/>
          <w:lang w:val="en-US" w:eastAsia="zh-CN" w:bidi="ar-SA"/>
        </w:rPr>
        <w:t>施工过程严格落实“六个百分之百”，</w:t>
      </w:r>
      <w:r>
        <w:rPr>
          <w:rStyle w:val="10"/>
          <w:rFonts w:ascii="仿宋_GB2312" w:hAnsi="仿宋_GB2312" w:eastAsia="仿宋_GB2312"/>
          <w:b w:val="0"/>
          <w:i w:val="0"/>
          <w:caps w:val="0"/>
          <w:color w:val="000000"/>
          <w:spacing w:val="0"/>
          <w:w w:val="100"/>
          <w:kern w:val="2"/>
          <w:sz w:val="32"/>
          <w:szCs w:val="32"/>
          <w:lang w:val="en-US" w:eastAsia="zh-CN" w:bidi="ar-SA"/>
        </w:rPr>
        <w:t>加强</w:t>
      </w:r>
      <w:r>
        <w:rPr>
          <w:rStyle w:val="10"/>
          <w:rFonts w:hint="eastAsia" w:ascii="仿宋_GB2312" w:hAnsi="仿宋_GB2312" w:eastAsia="仿宋_GB2312"/>
          <w:b w:val="0"/>
          <w:i w:val="0"/>
          <w:caps w:val="0"/>
          <w:color w:val="000000"/>
          <w:spacing w:val="0"/>
          <w:w w:val="100"/>
          <w:kern w:val="2"/>
          <w:sz w:val="32"/>
          <w:szCs w:val="32"/>
          <w:lang w:val="en-US" w:eastAsia="zh-CN" w:bidi="ar-SA"/>
        </w:rPr>
        <w:t>废水、噪声、固体废物</w:t>
      </w:r>
      <w:r>
        <w:rPr>
          <w:rStyle w:val="10"/>
          <w:rFonts w:ascii="仿宋_GB2312" w:hAnsi="仿宋_GB2312" w:eastAsia="仿宋_GB2312"/>
          <w:b w:val="0"/>
          <w:i w:val="0"/>
          <w:caps w:val="0"/>
          <w:color w:val="000000"/>
          <w:spacing w:val="0"/>
          <w:w w:val="100"/>
          <w:kern w:val="2"/>
          <w:sz w:val="32"/>
          <w:szCs w:val="32"/>
          <w:lang w:val="en-US" w:eastAsia="zh-CN" w:bidi="ar-SA"/>
        </w:rPr>
        <w:t>环境管理，落实《报</w:t>
      </w:r>
      <w:r>
        <w:rPr>
          <w:rStyle w:val="10"/>
          <w:rFonts w:ascii="仿宋_GB2312" w:hAnsi="仿宋_GB2312" w:eastAsia="仿宋_GB2312"/>
          <w:b w:val="0"/>
          <w:i w:val="0"/>
          <w:caps w:val="0"/>
          <w:color w:val="000000"/>
          <w:spacing w:val="-6"/>
          <w:w w:val="100"/>
          <w:kern w:val="2"/>
          <w:sz w:val="32"/>
          <w:szCs w:val="32"/>
          <w:lang w:val="en-US" w:eastAsia="zh-CN" w:bidi="ar-SA"/>
        </w:rPr>
        <w:t>告表》提出的各项污染防治及生态保护措施，降低对周边的影响。</w:t>
      </w:r>
    </w:p>
    <w:p w14:paraId="3EA73DFC">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Style w:val="10"/>
          <w:rFonts w:ascii="仿宋_GB2312" w:hAnsi="仿宋_GB2312" w:eastAsia="仿宋_GB2312"/>
          <w:b w:val="0"/>
          <w:i w:val="0"/>
          <w:caps w:val="0"/>
          <w:color w:val="0000FF"/>
          <w:spacing w:val="0"/>
          <w:w w:val="100"/>
          <w:kern w:val="2"/>
          <w:sz w:val="32"/>
          <w:szCs w:val="32"/>
          <w:lang w:val="en-US" w:eastAsia="zh-CN" w:bidi="ar-SA"/>
        </w:rPr>
      </w:pPr>
      <w:r>
        <w:rPr>
          <w:rStyle w:val="10"/>
          <w:rFonts w:ascii="仿宋_GB2312" w:hAnsi="仿宋_GB2312" w:eastAsia="仿宋_GB2312"/>
          <w:b w:val="0"/>
          <w:i w:val="0"/>
          <w:caps w:val="0"/>
          <w:color w:val="000000"/>
          <w:spacing w:val="0"/>
          <w:w w:val="100"/>
          <w:kern w:val="2"/>
          <w:sz w:val="32"/>
          <w:szCs w:val="32"/>
          <w:lang w:val="en-US" w:eastAsia="zh-CN" w:bidi="ar-SA"/>
        </w:rPr>
        <w:t>2、废气污染防治措施。运营期</w:t>
      </w:r>
      <w:r>
        <w:rPr>
          <w:rStyle w:val="10"/>
          <w:rFonts w:hint="eastAsia" w:ascii="仿宋_GB2312" w:hAnsi="仿宋_GB2312" w:eastAsia="仿宋_GB2312"/>
          <w:b w:val="0"/>
          <w:i w:val="0"/>
          <w:caps w:val="0"/>
          <w:color w:val="000000"/>
          <w:spacing w:val="0"/>
          <w:w w:val="100"/>
          <w:kern w:val="2"/>
          <w:sz w:val="32"/>
          <w:szCs w:val="32"/>
          <w:lang w:val="en-US" w:eastAsia="zh-CN" w:bidi="ar-SA"/>
        </w:rPr>
        <w:t>焙烧炉烘干工序产生的烟气经二级除尘（旋风+布袋除尘）处理后经1根H15m×Φ0.3m排气筒达标排放；上料工序废气、成品出料工序废气、包装工序废气收集后经管道汇入同一台脉冲式布袋除尘器处理后经一根H15m×Φ1.2m排气筒达标排放。运营期上料工序粉尘、成品出料工序粉尘、包装工序粉尘执行《大气污染物综合排放标准》（GB16297-1996）表2标准；焙烧炉烘干工序颗粒物排放浓度执行《工业炉窑大气污染物排放标准》（GB9078-1996）表2标准，二氧化硫排放浓度执行《工业炉窑大气污染物排放标准》（GB9078-1996）表4标准，氮氧化物排放浓度执行《大气污染物综合排放标准》（GB16297-1996）表2标准。无组织废气颗粒物执行《大气污染物综合排放标准》（GB16297-1996）表2标准。</w:t>
      </w:r>
    </w:p>
    <w:p w14:paraId="035EF062">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ascii="仿宋_GB2312" w:hAnsi="仿宋_GB2312" w:eastAsia="仿宋_GB2312"/>
          <w:b w:val="0"/>
          <w:i w:val="0"/>
          <w:caps w:val="0"/>
          <w:color w:val="000000"/>
          <w:spacing w:val="0"/>
          <w:w w:val="100"/>
          <w:kern w:val="2"/>
          <w:sz w:val="32"/>
          <w:szCs w:val="32"/>
          <w:lang w:val="en-US" w:eastAsia="zh-CN" w:bidi="ar-SA"/>
        </w:rPr>
        <w:t>3、废水污染防治措施。</w:t>
      </w:r>
      <w:r>
        <w:rPr>
          <w:rStyle w:val="10"/>
          <w:rFonts w:hint="eastAsia" w:ascii="仿宋_GB2312" w:hAnsi="仿宋_GB2312" w:eastAsia="仿宋_GB2312"/>
          <w:b w:val="0"/>
          <w:i w:val="0"/>
          <w:caps w:val="0"/>
          <w:color w:val="000000"/>
          <w:spacing w:val="0"/>
          <w:w w:val="100"/>
          <w:kern w:val="2"/>
          <w:sz w:val="32"/>
          <w:szCs w:val="32"/>
          <w:lang w:val="en-US" w:eastAsia="zh-CN" w:bidi="ar-SA"/>
        </w:rPr>
        <w:t>运营期场区不设食堂及洗浴，设旱厕，定期清掏用于周边农田施肥。生活污水主要是盥洗废水，水质简单，产生量少，经5m</w:t>
      </w:r>
      <w:r>
        <w:rPr>
          <w:rStyle w:val="10"/>
          <w:rFonts w:hint="eastAsia" w:ascii="仿宋_GB2312" w:hAnsi="仿宋_GB2312" w:eastAsia="仿宋_GB2312"/>
          <w:b w:val="0"/>
          <w:i w:val="0"/>
          <w:caps w:val="0"/>
          <w:color w:val="000000"/>
          <w:spacing w:val="0"/>
          <w:w w:val="100"/>
          <w:kern w:val="2"/>
          <w:sz w:val="32"/>
          <w:szCs w:val="32"/>
          <w:vertAlign w:val="superscript"/>
          <w:lang w:val="en-US" w:eastAsia="zh-CN" w:bidi="ar-SA"/>
        </w:rPr>
        <w:t>3</w:t>
      </w:r>
      <w:r>
        <w:rPr>
          <w:rStyle w:val="10"/>
          <w:rFonts w:hint="eastAsia" w:ascii="仿宋_GB2312" w:hAnsi="仿宋_GB2312" w:eastAsia="仿宋_GB2312"/>
          <w:b w:val="0"/>
          <w:i w:val="0"/>
          <w:caps w:val="0"/>
          <w:color w:val="000000"/>
          <w:spacing w:val="0"/>
          <w:w w:val="100"/>
          <w:kern w:val="2"/>
          <w:sz w:val="32"/>
          <w:szCs w:val="32"/>
          <w:lang w:val="en-US" w:eastAsia="zh-CN" w:bidi="ar-SA"/>
        </w:rPr>
        <w:t>沉淀池收集后沉淀处理，用于厂区洒水抑尘，不外排。</w:t>
      </w:r>
    </w:p>
    <w:p w14:paraId="7D2ACA21">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leftChars="0" w:firstLine="64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ascii="仿宋_GB2312" w:hAnsi="仿宋_GB2312" w:eastAsia="仿宋_GB2312"/>
          <w:b w:val="0"/>
          <w:i w:val="0"/>
          <w:caps w:val="0"/>
          <w:color w:val="000000"/>
          <w:spacing w:val="0"/>
          <w:w w:val="100"/>
          <w:kern w:val="2"/>
          <w:sz w:val="32"/>
          <w:szCs w:val="32"/>
          <w:lang w:val="en-US" w:eastAsia="zh-CN" w:bidi="ar-SA"/>
        </w:rPr>
        <w:t>4、噪声污染防治措施。</w:t>
      </w:r>
      <w:r>
        <w:rPr>
          <w:rStyle w:val="10"/>
          <w:rFonts w:hint="eastAsia" w:ascii="仿宋_GB2312" w:hAnsi="仿宋_GB2312" w:eastAsia="仿宋_GB2312"/>
          <w:b w:val="0"/>
          <w:i w:val="0"/>
          <w:caps w:val="0"/>
          <w:color w:val="000000"/>
          <w:spacing w:val="0"/>
          <w:w w:val="100"/>
          <w:kern w:val="2"/>
          <w:sz w:val="32"/>
          <w:szCs w:val="32"/>
          <w:lang w:val="en-US" w:eastAsia="zh-CN" w:bidi="ar-SA"/>
        </w:rPr>
        <w:t>运营期要选用低噪声设备，室内安装、基础减振、厂房隔声、风机进出口安装消音装置，定期维护保养，加强绿化等措施减少对周围环境的噪声污染。运营期厂界噪声排放执行《工业企业厂界环境噪声排放标准》（GB12348-2008）2类标准。</w:t>
      </w:r>
    </w:p>
    <w:p w14:paraId="74C889DA">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leftChars="0" w:firstLine="640"/>
        <w:jc w:val="both"/>
        <w:textAlignment w:val="baseline"/>
        <w:rPr>
          <w:rStyle w:val="10"/>
          <w:rFonts w:ascii="仿宋_GB2312" w:hAnsi="仿宋_GB2312" w:eastAsia="仿宋_GB2312"/>
          <w:b w:val="0"/>
          <w:i w:val="0"/>
          <w:caps w:val="0"/>
          <w:color w:val="auto"/>
          <w:spacing w:val="0"/>
          <w:w w:val="100"/>
          <w:kern w:val="2"/>
          <w:sz w:val="32"/>
          <w:szCs w:val="32"/>
          <w:lang w:val="en-US" w:eastAsia="zh-CN" w:bidi="ar-SA"/>
        </w:rPr>
      </w:pPr>
      <w:r>
        <w:rPr>
          <w:rStyle w:val="10"/>
          <w:rFonts w:ascii="仿宋_GB2312" w:hAnsi="仿宋_GB2312" w:eastAsia="仿宋_GB2312"/>
          <w:b w:val="0"/>
          <w:i w:val="0"/>
          <w:caps w:val="0"/>
          <w:color w:val="000000"/>
          <w:spacing w:val="0"/>
          <w:w w:val="100"/>
          <w:kern w:val="2"/>
          <w:sz w:val="32"/>
          <w:szCs w:val="32"/>
          <w:lang w:val="en-US" w:eastAsia="zh-CN" w:bidi="ar-SA"/>
        </w:rPr>
        <w:t>5、固体废物污染防治措施。运营期</w:t>
      </w:r>
      <w:r>
        <w:rPr>
          <w:rStyle w:val="10"/>
          <w:rFonts w:hint="eastAsia" w:ascii="仿宋_GB2312" w:hAnsi="仿宋_GB2312" w:eastAsia="仿宋_GB2312"/>
          <w:b w:val="0"/>
          <w:i w:val="0"/>
          <w:caps w:val="0"/>
          <w:color w:val="000000"/>
          <w:spacing w:val="0"/>
          <w:w w:val="100"/>
          <w:kern w:val="2"/>
          <w:sz w:val="32"/>
          <w:szCs w:val="32"/>
          <w:lang w:val="en-US" w:eastAsia="zh-CN" w:bidi="ar-SA"/>
        </w:rPr>
        <w:t>布袋除尘器收尘灰主要成分为原料微粒，收集后掺入产品外售；设备维修产生的废矿物油经收集后暂存于危废贮存库内，定期交由文水县兴盛新能源有限公司回收处置；在厂区内设封闭式垃圾收集箱临时收集，定期送往环卫部门指定的地点妥善处理。运营期</w:t>
      </w:r>
      <w:r>
        <w:rPr>
          <w:rStyle w:val="10"/>
          <w:rFonts w:hint="eastAsia" w:ascii="仿宋_GB2312" w:hAnsi="仿宋_GB2312" w:eastAsia="仿宋_GB2312"/>
          <w:b w:val="0"/>
          <w:i w:val="0"/>
          <w:caps w:val="0"/>
          <w:color w:val="auto"/>
          <w:spacing w:val="0"/>
          <w:w w:val="100"/>
          <w:kern w:val="2"/>
          <w:sz w:val="32"/>
          <w:szCs w:val="32"/>
          <w:lang w:val="en-US" w:eastAsia="zh-CN" w:bidi="ar-SA"/>
        </w:rPr>
        <w:t>一般固体废物处置执行《一般工业固体废物贮存和填埋污染控制标准》（GB18599-2020）中的有关规定。危险废物执行《危险废物贮存污染控制标准》（GB18597-2023）中的有关规定。</w:t>
      </w:r>
    </w:p>
    <w:p w14:paraId="573E76FA">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6、加强</w:t>
      </w:r>
      <w:r>
        <w:rPr>
          <w:rStyle w:val="10"/>
          <w:rFonts w:hint="eastAsia" w:ascii="仿宋_GB2312" w:hAnsi="仿宋_GB2312" w:eastAsia="仿宋_GB2312"/>
          <w:b w:val="0"/>
          <w:i w:val="0"/>
          <w:caps w:val="0"/>
          <w:spacing w:val="0"/>
          <w:w w:val="100"/>
          <w:kern w:val="2"/>
          <w:sz w:val="32"/>
          <w:szCs w:val="32"/>
          <w:lang w:val="en-US" w:eastAsia="zh-CN" w:bidi="ar-SA"/>
        </w:rPr>
        <w:t>厂</w:t>
      </w:r>
      <w:r>
        <w:rPr>
          <w:rStyle w:val="10"/>
          <w:rFonts w:ascii="仿宋_GB2312" w:hAnsi="仿宋_GB2312" w:eastAsia="仿宋_GB2312"/>
          <w:b w:val="0"/>
          <w:i w:val="0"/>
          <w:caps w:val="0"/>
          <w:spacing w:val="0"/>
          <w:w w:val="100"/>
          <w:kern w:val="2"/>
          <w:sz w:val="32"/>
          <w:szCs w:val="32"/>
          <w:lang w:val="en-US" w:eastAsia="zh-CN" w:bidi="ar-SA"/>
        </w:rPr>
        <w:t>区的绿化美化工作，改善周边生态环境。</w:t>
      </w:r>
    </w:p>
    <w:p w14:paraId="03B1A18C">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baseline"/>
        <w:rPr>
          <w:rStyle w:val="10"/>
          <w:rFonts w:hint="eastAsia" w:ascii="仿宋_GB2312" w:hAnsi="仿宋_GB2312" w:eastAsia="仿宋_GB2312"/>
          <w:b w:val="0"/>
          <w:i w:val="0"/>
          <w:caps w:val="0"/>
          <w:color w:val="auto"/>
          <w:spacing w:val="0"/>
          <w:w w:val="100"/>
          <w:kern w:val="2"/>
          <w:sz w:val="32"/>
          <w:szCs w:val="32"/>
          <w:lang w:val="en-US" w:eastAsia="zh-CN" w:bidi="ar-SA"/>
        </w:rPr>
      </w:pPr>
      <w:r>
        <w:rPr>
          <w:rStyle w:val="10"/>
          <w:rFonts w:ascii="仿宋_GB2312" w:hAnsi="仿宋_GB2312" w:eastAsia="仿宋_GB2312"/>
          <w:b w:val="0"/>
          <w:i w:val="0"/>
          <w:caps w:val="0"/>
          <w:color w:val="auto"/>
          <w:spacing w:val="0"/>
          <w:w w:val="100"/>
          <w:kern w:val="2"/>
          <w:sz w:val="32"/>
          <w:szCs w:val="32"/>
          <w:lang w:val="en-US" w:eastAsia="zh-CN" w:bidi="ar-SA"/>
        </w:rPr>
        <w:t>三、该项</w:t>
      </w:r>
      <w:r>
        <w:rPr>
          <w:rStyle w:val="10"/>
          <w:rFonts w:hint="eastAsia" w:ascii="仿宋_GB2312" w:hAnsi="仿宋_GB2312" w:eastAsia="仿宋_GB2312"/>
          <w:b w:val="0"/>
          <w:i w:val="0"/>
          <w:caps w:val="0"/>
          <w:color w:val="auto"/>
          <w:spacing w:val="0"/>
          <w:w w:val="100"/>
          <w:kern w:val="2"/>
          <w:sz w:val="32"/>
          <w:szCs w:val="32"/>
          <w:lang w:val="en-US" w:eastAsia="zh-CN" w:bidi="ar-SA"/>
        </w:rPr>
        <w:t>目污染物排放量为颗粒物排放量为1.734t/a，二氧化硫排放量为0.060t/a，氮氧化物排放量为1.085t/a。</w:t>
      </w:r>
    </w:p>
    <w:p w14:paraId="4EA44FFF">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四、加强对工程的环境管理和环境风险预测，制定突发环境事故应急预案及环境保护管理相关制度，采取合理有效措施防范环境风险，预防突发环境事件的发生。</w:t>
      </w:r>
    </w:p>
    <w:p w14:paraId="65F6B0F4">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color w:val="292929"/>
          <w:spacing w:val="0"/>
          <w:w w:val="100"/>
          <w:kern w:val="0"/>
          <w:sz w:val="32"/>
          <w:szCs w:val="32"/>
          <w:lang w:val="en-US" w:eastAsia="zh-CN" w:bidi="ar-SA"/>
        </w:rPr>
        <w:t>五、</w:t>
      </w:r>
      <w:r>
        <w:rPr>
          <w:rStyle w:val="10"/>
          <w:rFonts w:ascii="仿宋_GB2312" w:hAnsi="仿宋_GB2312" w:eastAsia="仿宋_GB2312"/>
          <w:b w:val="0"/>
          <w:i w:val="0"/>
          <w:caps w:val="0"/>
          <w:spacing w:val="0"/>
          <w:w w:val="100"/>
          <w:kern w:val="2"/>
          <w:sz w:val="32"/>
          <w:szCs w:val="32"/>
          <w:lang w:val="en-US" w:eastAsia="zh-CN" w:bidi="ar-SA"/>
        </w:rPr>
        <w:t>项目建设要严格执行环保“三同时”制度。并按照《报告表》中提出的各项要求,积极落实各项污染防治措施。项目建成后须按规定进行环境保护竣工验收。环境保护措施未落实到位，不得正式投入运营；如项目的性质、规模、地点、采用的防治污染、防止生态破坏措施发生重大变动的，须报经我局重新审批。</w:t>
      </w:r>
    </w:p>
    <w:p w14:paraId="0EB9ED86">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六、大同市灵丘县生态环境保护综合行政执法队负责该项目建设期及运营期日常监督管理工作。</w:t>
      </w:r>
    </w:p>
    <w:p w14:paraId="678E3508">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360" w:firstLineChars="200"/>
        <w:jc w:val="both"/>
        <w:textAlignment w:val="baseline"/>
        <w:rPr>
          <w:rStyle w:val="10"/>
          <w:rFonts w:ascii="仿宋_GB2312" w:hAnsi="仿宋_GB2312" w:eastAsia="仿宋_GB2312"/>
          <w:b w:val="0"/>
          <w:i w:val="0"/>
          <w:caps w:val="0"/>
          <w:spacing w:val="0"/>
          <w:w w:val="100"/>
          <w:kern w:val="2"/>
          <w:sz w:val="18"/>
          <w:szCs w:val="18"/>
          <w:lang w:val="en-US" w:eastAsia="zh-CN" w:bidi="ar-SA"/>
        </w:rPr>
      </w:pPr>
    </w:p>
    <w:p w14:paraId="1B251E9B">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360" w:firstLineChars="200"/>
        <w:jc w:val="both"/>
        <w:textAlignment w:val="baseline"/>
        <w:rPr>
          <w:rStyle w:val="10"/>
          <w:rFonts w:ascii="仿宋_GB2312" w:hAnsi="仿宋_GB2312" w:eastAsia="仿宋_GB2312"/>
          <w:b w:val="0"/>
          <w:i w:val="0"/>
          <w:caps w:val="0"/>
          <w:spacing w:val="0"/>
          <w:w w:val="100"/>
          <w:kern w:val="2"/>
          <w:sz w:val="18"/>
          <w:szCs w:val="18"/>
          <w:lang w:val="en-US" w:eastAsia="zh-CN" w:bidi="ar-SA"/>
        </w:rPr>
      </w:pPr>
    </w:p>
    <w:p w14:paraId="2A5FD25B">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360" w:firstLineChars="200"/>
        <w:jc w:val="both"/>
        <w:textAlignment w:val="baseline"/>
        <w:rPr>
          <w:rStyle w:val="10"/>
          <w:rFonts w:ascii="仿宋_GB2312" w:hAnsi="仿宋_GB2312" w:eastAsia="仿宋_GB2312"/>
          <w:b w:val="0"/>
          <w:i w:val="0"/>
          <w:caps w:val="0"/>
          <w:spacing w:val="0"/>
          <w:w w:val="100"/>
          <w:kern w:val="2"/>
          <w:sz w:val="18"/>
          <w:szCs w:val="18"/>
          <w:lang w:val="en-US" w:eastAsia="zh-CN" w:bidi="ar-SA"/>
        </w:rPr>
      </w:pPr>
    </w:p>
    <w:p w14:paraId="07603A3A">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360" w:firstLineChars="200"/>
        <w:jc w:val="both"/>
        <w:textAlignment w:val="baseline"/>
        <w:rPr>
          <w:rStyle w:val="10"/>
          <w:rFonts w:ascii="仿宋_GB2312" w:hAnsi="仿宋_GB2312" w:eastAsia="仿宋_GB2312"/>
          <w:b w:val="0"/>
          <w:i w:val="0"/>
          <w:caps w:val="0"/>
          <w:spacing w:val="0"/>
          <w:w w:val="100"/>
          <w:kern w:val="2"/>
          <w:sz w:val="18"/>
          <w:szCs w:val="18"/>
          <w:lang w:val="en-US" w:eastAsia="zh-CN" w:bidi="ar-SA"/>
        </w:rPr>
      </w:pPr>
    </w:p>
    <w:p w14:paraId="4D421C38">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firstLine="3840" w:firstLineChars="1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大同市生态环境局灵丘分局</w:t>
      </w:r>
    </w:p>
    <w:p w14:paraId="4284C5E4">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firstLine="4480" w:firstLineChars="1400"/>
        <w:jc w:val="both"/>
        <w:textAlignment w:val="baseline"/>
        <w:rPr>
          <w:rFonts w:hint="eastAsia" w:ascii="仿宋_GB2312" w:hAnsi="仿宋_GB2312" w:eastAsia="仿宋_GB2312" w:cs="仿宋_GB2312"/>
          <w:spacing w:val="0"/>
          <w:sz w:val="32"/>
          <w:szCs w:val="32"/>
        </w:rPr>
      </w:pPr>
      <w:r>
        <w:rPr>
          <w:rStyle w:val="10"/>
          <w:rFonts w:ascii="仿宋_GB2312" w:hAnsi="仿宋_GB2312" w:eastAsia="仿宋_GB2312"/>
          <w:b w:val="0"/>
          <w:i w:val="0"/>
          <w:caps w:val="0"/>
          <w:spacing w:val="0"/>
          <w:w w:val="100"/>
          <w:kern w:val="2"/>
          <w:sz w:val="32"/>
          <w:szCs w:val="32"/>
          <w:lang w:val="en-US" w:eastAsia="zh-CN" w:bidi="ar-SA"/>
        </w:rPr>
        <w:t>202</w:t>
      </w:r>
      <w:r>
        <w:rPr>
          <w:rStyle w:val="10"/>
          <w:rFonts w:hint="eastAsia" w:ascii="仿宋_GB2312" w:hAnsi="仿宋_GB2312" w:eastAsia="仿宋_GB2312"/>
          <w:b w:val="0"/>
          <w:i w:val="0"/>
          <w:caps w:val="0"/>
          <w:spacing w:val="0"/>
          <w:w w:val="100"/>
          <w:kern w:val="2"/>
          <w:sz w:val="32"/>
          <w:szCs w:val="32"/>
          <w:lang w:val="en-US" w:eastAsia="zh-CN" w:bidi="ar-SA"/>
        </w:rPr>
        <w:t>4</w:t>
      </w:r>
      <w:r>
        <w:rPr>
          <w:rStyle w:val="10"/>
          <w:rFonts w:ascii="仿宋_GB2312" w:hAnsi="仿宋_GB2312" w:eastAsia="仿宋_GB2312"/>
          <w:b w:val="0"/>
          <w:i w:val="0"/>
          <w:caps w:val="0"/>
          <w:spacing w:val="0"/>
          <w:w w:val="100"/>
          <w:kern w:val="2"/>
          <w:sz w:val="32"/>
          <w:szCs w:val="32"/>
          <w:lang w:val="en-US" w:eastAsia="zh-CN" w:bidi="ar-SA"/>
        </w:rPr>
        <w:t>年</w:t>
      </w:r>
      <w:r>
        <w:rPr>
          <w:rStyle w:val="10"/>
          <w:rFonts w:hint="eastAsia" w:ascii="仿宋_GB2312" w:hAnsi="仿宋_GB2312" w:eastAsia="仿宋_GB2312"/>
          <w:b w:val="0"/>
          <w:i w:val="0"/>
          <w:caps w:val="0"/>
          <w:spacing w:val="0"/>
          <w:w w:val="100"/>
          <w:kern w:val="2"/>
          <w:sz w:val="32"/>
          <w:szCs w:val="32"/>
          <w:lang w:val="en-US" w:eastAsia="zh-CN" w:bidi="ar-SA"/>
        </w:rPr>
        <w:t>11</w:t>
      </w:r>
      <w:r>
        <w:rPr>
          <w:rStyle w:val="10"/>
          <w:rFonts w:ascii="仿宋_GB2312" w:hAnsi="仿宋_GB2312" w:eastAsia="仿宋_GB2312"/>
          <w:b w:val="0"/>
          <w:i w:val="0"/>
          <w:caps w:val="0"/>
          <w:spacing w:val="0"/>
          <w:w w:val="100"/>
          <w:kern w:val="2"/>
          <w:sz w:val="32"/>
          <w:szCs w:val="32"/>
          <w:lang w:val="en-US" w:eastAsia="zh-CN" w:bidi="ar-SA"/>
        </w:rPr>
        <w:t>月</w:t>
      </w:r>
      <w:r>
        <w:rPr>
          <w:rStyle w:val="10"/>
          <w:rFonts w:hint="eastAsia" w:ascii="仿宋_GB2312" w:hAnsi="仿宋_GB2312" w:eastAsia="仿宋_GB2312"/>
          <w:b w:val="0"/>
          <w:i w:val="0"/>
          <w:caps w:val="0"/>
          <w:spacing w:val="0"/>
          <w:w w:val="100"/>
          <w:kern w:val="2"/>
          <w:sz w:val="32"/>
          <w:szCs w:val="32"/>
          <w:lang w:val="en-US" w:eastAsia="zh-CN" w:bidi="ar-SA"/>
        </w:rPr>
        <w:t>19</w:t>
      </w:r>
      <w:r>
        <w:rPr>
          <w:rStyle w:val="10"/>
          <w:rFonts w:ascii="仿宋_GB2312" w:hAnsi="仿宋_GB2312" w:eastAsia="仿宋_GB2312"/>
          <w:b w:val="0"/>
          <w:i w:val="0"/>
          <w:caps w:val="0"/>
          <w:spacing w:val="0"/>
          <w:w w:val="100"/>
          <w:kern w:val="2"/>
          <w:sz w:val="32"/>
          <w:szCs w:val="32"/>
          <w:lang w:val="en-US" w:eastAsia="zh-CN" w:bidi="ar-SA"/>
        </w:rPr>
        <w:t>日</w:t>
      </w:r>
    </w:p>
    <w:p w14:paraId="7FACDC03">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right="0" w:firstLine="6384" w:firstLineChars="1400"/>
        <w:jc w:val="both"/>
        <w:textAlignment w:val="baseline"/>
        <w:rPr>
          <w:rFonts w:hint="eastAsia" w:ascii="仿宋" w:hAnsi="仿宋" w:eastAsia="仿宋" w:cs="仿宋"/>
          <w:color w:val="auto"/>
          <w:spacing w:val="68"/>
          <w:sz w:val="32"/>
          <w:szCs w:val="32"/>
          <w:u w:val="single"/>
          <w:lang w:val="en-US" w:eastAsia="zh-CN"/>
        </w:rPr>
      </w:pPr>
    </w:p>
    <w:sectPr>
      <w:pgSz w:w="11906" w:h="16838"/>
      <w:pgMar w:top="1440" w:right="1701" w:bottom="144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MjljZTYxNTUzNmM1NDNmMmQ3ZWM5YmI4ODgxMjIifQ=="/>
  </w:docVars>
  <w:rsids>
    <w:rsidRoot w:val="3B9F3D19"/>
    <w:rsid w:val="0BC63B74"/>
    <w:rsid w:val="0EEC057A"/>
    <w:rsid w:val="0F6A0E1E"/>
    <w:rsid w:val="10892C41"/>
    <w:rsid w:val="1E8A2A3D"/>
    <w:rsid w:val="1ED24E6B"/>
    <w:rsid w:val="1EDD7021"/>
    <w:rsid w:val="25462E46"/>
    <w:rsid w:val="2AB54E7F"/>
    <w:rsid w:val="3B9F3D19"/>
    <w:rsid w:val="3F9B5BB1"/>
    <w:rsid w:val="42074515"/>
    <w:rsid w:val="48D423BE"/>
    <w:rsid w:val="49D10ACC"/>
    <w:rsid w:val="4EC64BEA"/>
    <w:rsid w:val="4F0C50FB"/>
    <w:rsid w:val="5AD216C5"/>
    <w:rsid w:val="61DE04AF"/>
    <w:rsid w:val="689E2EA1"/>
    <w:rsid w:val="6A047FFE"/>
    <w:rsid w:val="7F336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autoRedefine/>
    <w:qFormat/>
    <w:uiPriority w:val="0"/>
  </w:style>
  <w:style w:type="paragraph" w:customStyle="1" w:styleId="7">
    <w:name w:val="正文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
    <w:name w:val="正文 New New"/>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
    <w:name w:val="NormalCharacter"/>
    <w:autoRedefine/>
    <w:qFormat/>
    <w:uiPriority w:val="0"/>
    <w:rPr>
      <w:kern w:val="2"/>
      <w:sz w:val="21"/>
      <w:lang w:val="en-US" w:eastAsia="zh-CN" w:bidi="ar-SA"/>
    </w:rPr>
  </w:style>
  <w:style w:type="paragraph" w:customStyle="1" w:styleId="11">
    <w:name w:val="UserStyle_7"/>
    <w:autoRedefine/>
    <w:qFormat/>
    <w:uiPriority w:val="0"/>
    <w:pPr>
      <w:jc w:val="both"/>
      <w:textAlignment w:val="baseline"/>
    </w:pPr>
    <w:rPr>
      <w:rFonts w:ascii="Times New Roman" w:hAnsi="Times New Roman" w:eastAsia="宋体" w:cs="Times New Roman"/>
      <w:kern w:val="2"/>
      <w:sz w:val="21"/>
      <w:lang w:val="en-US" w:eastAsia="zh-CN" w:bidi="ar-SA"/>
    </w:rPr>
  </w:style>
  <w:style w:type="paragraph" w:customStyle="1" w:styleId="12">
    <w:name w:val="UserStyle_20"/>
    <w:autoRedefine/>
    <w:qFormat/>
    <w:uiPriority w:val="0"/>
    <w:pPr>
      <w:textAlignment w:val="baseline"/>
    </w:pPr>
    <w:rPr>
      <w:rFonts w:ascii="宋体" w:hAnsi="Calibri" w:eastAsia="宋体" w:cs="Times New Roman"/>
      <w:color w:val="000000"/>
      <w:sz w:val="24"/>
      <w:szCs w:val="24"/>
      <w:lang w:val="en-US" w:eastAsia="zh-CN" w:bidi="ar-SA"/>
    </w:rPr>
  </w:style>
  <w:style w:type="paragraph" w:customStyle="1" w:styleId="13">
    <w:name w:val="UserStyle_17"/>
    <w:autoRedefine/>
    <w:qFormat/>
    <w:uiPriority w:val="0"/>
    <w:pPr>
      <w:jc w:val="both"/>
      <w:textAlignment w:val="baseline"/>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1510</Words>
  <Characters>1616</Characters>
  <Lines>0</Lines>
  <Paragraphs>0</Paragraphs>
  <TotalTime>1</TotalTime>
  <ScaleCrop>false</ScaleCrop>
  <LinksUpToDate>false</LinksUpToDate>
  <CharactersWithSpaces>1618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2020-05-25T09:58:00Z</dcterms:created>
  <dc:creator>丽纱</dc:creator>
  <cp:lastModifiedBy>丽纱</cp:lastModifiedBy>
  <dcterms:modified xsi:type="dcterms:W3CDTF">2024-11-19T03:06:09Z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37A6BBA76E41482195666D465E33CC4F</vt:lpwstr>
  </property>
</Properties>
</file>