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AF929">
      <w:pPr>
        <w:ind w:right="-313" w:rightChars="-149"/>
        <w:jc w:val="both"/>
        <w:rPr>
          <w:rFonts w:hint="eastAsia" w:ascii="仿宋" w:hAnsi="仿宋" w:eastAsia="仿宋"/>
          <w:b/>
          <w:bCs/>
          <w:sz w:val="28"/>
        </w:rPr>
      </w:pPr>
    </w:p>
    <w:p w14:paraId="1DE8AFD9">
      <w:pPr>
        <w:pStyle w:val="2"/>
        <w:rPr>
          <w:rFonts w:hint="eastAsia"/>
        </w:rPr>
      </w:pPr>
    </w:p>
    <w:p w14:paraId="0DF647B3">
      <w:pPr>
        <w:jc w:val="center"/>
        <w:rPr>
          <w:rFonts w:hint="eastAsia" w:ascii="仿宋" w:hAnsi="仿宋" w:eastAsia="仿宋"/>
          <w:b/>
          <w:bCs/>
          <w:sz w:val="28"/>
        </w:rPr>
      </w:pPr>
      <w:r>
        <w:rPr>
          <w:rFonts w:hint="eastAsia" w:ascii="仿宋" w:hAnsi="仿宋" w:eastAsia="仿宋"/>
          <w:b/>
          <w:bCs/>
          <w:sz w:val="28"/>
        </w:rPr>
        <w:t xml:space="preserve">                                  </w:t>
      </w:r>
    </w:p>
    <w:p w14:paraId="3AFEB617">
      <w:pPr>
        <w:ind w:firstLine="480"/>
        <w:jc w:val="center"/>
        <w:rPr>
          <w:rFonts w:ascii="Calibri" w:hAnsi="Calibri" w:eastAsia="方正小标宋简体" w:cs="Times New Roman"/>
          <w:bCs/>
          <w:sz w:val="44"/>
          <w:szCs w:val="44"/>
        </w:rPr>
      </w:pPr>
      <w:r>
        <w:rPr>
          <w:rFonts w:hint="eastAsia" w:ascii="黑体" w:hAnsi="黑体" w:eastAsia="黑体" w:cs="宋体"/>
          <w:kern w:val="0"/>
          <w:sz w:val="44"/>
          <w:szCs w:val="44"/>
          <w:lang w:val="zh-CN"/>
        </w:rPr>
        <w:t xml:space="preserve"> </w:t>
      </w:r>
      <w:r>
        <w:rPr>
          <w:rFonts w:hint="eastAsia" w:ascii="仿宋_GB2312" w:hAnsi="黑体" w:eastAsia="仿宋_GB2312" w:cs="宋体"/>
          <w:kern w:val="0"/>
          <w:sz w:val="44"/>
          <w:szCs w:val="44"/>
          <w:lang w:val="zh-CN"/>
        </w:rPr>
        <w:t xml:space="preserve">                    </w:t>
      </w:r>
      <w:bookmarkStart w:id="0" w:name="_GoBack"/>
      <w:r>
        <w:rPr>
          <w:rFonts w:hint="eastAsia" w:ascii="仿宋_GB2312" w:hAnsi="黑体" w:eastAsia="仿宋_GB2312" w:cs="宋体"/>
          <w:kern w:val="0"/>
          <w:sz w:val="32"/>
          <w:szCs w:val="32"/>
          <w:lang w:val="zh-CN"/>
        </w:rPr>
        <w:t>平城环函</w:t>
      </w:r>
      <w:r>
        <w:rPr>
          <w:rFonts w:hint="eastAsia" w:ascii="仿宋_GB2312" w:hAnsi="Calibri" w:eastAsia="仿宋_GB2312" w:cs="Times New Roman"/>
          <w:sz w:val="32"/>
          <w:szCs w:val="32"/>
        </w:rPr>
        <w:t>〔202</w:t>
      </w:r>
      <w:r>
        <w:rPr>
          <w:rFonts w:hint="eastAsia" w:ascii="仿宋_GB2312" w:eastAsia="仿宋_GB2312" w:cs="Times New Roman"/>
          <w:sz w:val="32"/>
          <w:szCs w:val="32"/>
          <w:lang w:val="en-US" w:eastAsia="zh-CN"/>
        </w:rPr>
        <w:t>4</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1</w:t>
      </w:r>
      <w:r>
        <w:rPr>
          <w:rFonts w:hint="eastAsia" w:ascii="仿宋_GB2312" w:eastAsia="仿宋_GB2312" w:cs="Times New Roman"/>
          <w:sz w:val="32"/>
          <w:szCs w:val="32"/>
          <w:lang w:val="en-US" w:eastAsia="zh-CN"/>
        </w:rPr>
        <w:t>3</w:t>
      </w:r>
      <w:r>
        <w:rPr>
          <w:rFonts w:hint="eastAsia" w:ascii="仿宋_GB2312" w:hAnsi="宋体" w:eastAsia="仿宋_GB2312" w:cs="宋体"/>
          <w:kern w:val="0"/>
          <w:sz w:val="32"/>
          <w:szCs w:val="32"/>
          <w:lang w:val="zh-CN"/>
        </w:rPr>
        <w:t>号</w:t>
      </w:r>
    </w:p>
    <w:bookmarkEnd w:id="0"/>
    <w:p w14:paraId="748EDCE9">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outlineLvl w:val="0"/>
        <w:rPr>
          <w:rFonts w:hint="eastAsia" w:ascii="Calibri" w:hAnsi="Calibri" w:eastAsia="方正小标宋简体" w:cs="Times New Roman"/>
          <w:bCs/>
          <w:sz w:val="44"/>
          <w:szCs w:val="44"/>
          <w:lang w:eastAsia="zh-CN"/>
        </w:rPr>
      </w:pPr>
      <w:r>
        <w:rPr>
          <w:rFonts w:ascii="Calibri" w:hAnsi="Calibri" w:eastAsia="方正小标宋简体" w:cs="Times New Roman"/>
          <w:bCs/>
          <w:sz w:val="44"/>
          <w:szCs w:val="44"/>
        </w:rPr>
        <w:t>关于</w:t>
      </w:r>
      <w:r>
        <w:rPr>
          <w:rFonts w:hint="eastAsia" w:ascii="Calibri" w:hAnsi="Calibri" w:eastAsia="方正小标宋简体" w:cs="Times New Roman"/>
          <w:bCs/>
          <w:sz w:val="44"/>
          <w:szCs w:val="44"/>
          <w:lang w:eastAsia="zh-CN"/>
        </w:rPr>
        <w:t>山西精瑞轨道交通设备有限公司变压器</w:t>
      </w:r>
    </w:p>
    <w:p w14:paraId="5D50119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Calibri" w:hAnsi="Calibri" w:eastAsia="方正小标宋简体" w:cs="Times New Roman"/>
          <w:bCs/>
          <w:sz w:val="44"/>
          <w:szCs w:val="44"/>
        </w:rPr>
      </w:pPr>
      <w:r>
        <w:rPr>
          <w:rFonts w:hint="eastAsia" w:ascii="Calibri" w:hAnsi="Calibri" w:eastAsia="方正小标宋简体" w:cs="Times New Roman"/>
          <w:bCs/>
          <w:sz w:val="44"/>
          <w:szCs w:val="44"/>
          <w:lang w:eastAsia="zh-CN"/>
        </w:rPr>
        <w:t>清洗及干燥项目</w:t>
      </w:r>
      <w:r>
        <w:rPr>
          <w:rFonts w:ascii="Calibri" w:hAnsi="Calibri" w:eastAsia="方正小标宋简体" w:cs="Times New Roman"/>
          <w:bCs/>
          <w:sz w:val="44"/>
          <w:szCs w:val="44"/>
        </w:rPr>
        <w:t>环境影响报告表的批复</w:t>
      </w:r>
    </w:p>
    <w:p w14:paraId="6FADAAC1">
      <w:pPr>
        <w:pStyle w:val="7"/>
        <w:spacing w:line="640" w:lineRule="exact"/>
        <w:rPr>
          <w:rFonts w:ascii="Calibri" w:hAnsi="Calibri" w:cs="Times New Roman"/>
          <w:sz w:val="36"/>
          <w:szCs w:val="36"/>
        </w:rPr>
      </w:pPr>
    </w:p>
    <w:p w14:paraId="752E51F6">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山西精瑞轨道交通设备有限公司：</w:t>
      </w:r>
    </w:p>
    <w:p w14:paraId="2797380F">
      <w:pPr>
        <w:keepNext w:val="0"/>
        <w:keepLines w:val="0"/>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eastAsia="zh-CN"/>
        </w:rPr>
        <w:t>山西精瑞轨道交通设备有限公司变压器清洗及干燥</w:t>
      </w:r>
      <w:r>
        <w:rPr>
          <w:rFonts w:hint="eastAsia" w:ascii="仿宋_GB2312" w:hAnsi="仿宋_GB2312" w:eastAsia="仿宋_GB2312" w:cs="仿宋_GB2312"/>
          <w:sz w:val="32"/>
          <w:szCs w:val="32"/>
        </w:rPr>
        <w:t>项目环境影响报告表》（以下简称《报告表》）报批申请及相关资料收悉。结合大同市生态环境评估中心出具的《关于&lt;</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山西精瑞轨道交通设备有限公司变压器清洗及干燥项目环境影响报告表</w:t>
      </w:r>
      <w:r>
        <w:rPr>
          <w:rFonts w:hint="eastAsia" w:ascii="仿宋_GB2312" w:hAnsi="仿宋_GB2312" w:eastAsia="仿宋_GB2312" w:cs="仿宋_GB2312"/>
          <w:sz w:val="32"/>
          <w:szCs w:val="32"/>
        </w:rPr>
        <w:t xml:space="preserve">&gt;的技术评估报告》，经研究，批复如下： </w:t>
      </w:r>
    </w:p>
    <w:p w14:paraId="06AD074B">
      <w:pPr>
        <w:keepNext w:val="0"/>
        <w:keepLines w:val="0"/>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eastAsia="zh-CN"/>
        </w:rPr>
        <w:t>位于大同市平城区前进街与庆新路交叉口西南侧</w:t>
      </w:r>
      <w:r>
        <w:rPr>
          <w:rFonts w:hint="default" w:ascii="仿宋_GB2312" w:hAnsi="仿宋_GB2312" w:eastAsia="仿宋_GB2312" w:cs="仿宋_GB2312"/>
          <w:sz w:val="32"/>
          <w:szCs w:val="32"/>
          <w:lang w:val="en-US" w:eastAsia="zh-CN"/>
        </w:rPr>
        <w:t>370m</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租用</w:t>
      </w:r>
      <w:r>
        <w:rPr>
          <w:rFonts w:hint="eastAsia" w:ascii="仿宋_GB2312" w:hAnsi="仿宋_GB2312" w:eastAsia="仿宋_GB2312" w:cs="仿宋_GB2312"/>
          <w:sz w:val="32"/>
          <w:szCs w:val="32"/>
          <w:lang w:eastAsia="zh-CN"/>
        </w:rPr>
        <w:t>占地</w:t>
      </w:r>
      <w:r>
        <w:rPr>
          <w:rFonts w:hint="eastAsia" w:ascii="仿宋_GB2312" w:hAnsi="仿宋_GB2312" w:eastAsia="仿宋_GB2312" w:cs="仿宋_GB2312"/>
          <w:sz w:val="32"/>
          <w:szCs w:val="32"/>
        </w:rPr>
        <w:t>面积</w:t>
      </w:r>
      <w:r>
        <w:rPr>
          <w:rFonts w:hint="default" w:ascii="仿宋_GB2312" w:hAnsi="仿宋_GB2312" w:eastAsia="仿宋_GB2312" w:cs="仿宋_GB2312"/>
          <w:sz w:val="32"/>
          <w:szCs w:val="32"/>
          <w:lang w:val="en-US"/>
        </w:rPr>
        <w:t>3807</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总投资</w:t>
      </w:r>
      <w:r>
        <w:rPr>
          <w:rFonts w:hint="default" w:ascii="仿宋_GB2312" w:hAnsi="仿宋_GB2312" w:eastAsia="仿宋_GB2312" w:cs="仿宋_GB2312"/>
          <w:sz w:val="32"/>
          <w:szCs w:val="32"/>
          <w:lang w:val="en-US" w:eastAsia="zh-CN"/>
        </w:rPr>
        <w:t>586.5</w:t>
      </w:r>
      <w:r>
        <w:rPr>
          <w:rFonts w:hint="eastAsia" w:ascii="仿宋_GB2312" w:hAnsi="仿宋_GB2312" w:eastAsia="仿宋_GB2312" w:cs="仿宋_GB2312"/>
          <w:sz w:val="32"/>
          <w:szCs w:val="32"/>
          <w:lang w:val="en-US" w:eastAsia="zh-CN"/>
        </w:rPr>
        <w:t>万，环保投资</w:t>
      </w:r>
      <w:r>
        <w:rPr>
          <w:rFonts w:hint="default"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val="en-US" w:eastAsia="zh-CN"/>
        </w:rPr>
        <w:t>万，占总投资的</w:t>
      </w:r>
      <w:r>
        <w:rPr>
          <w:rFonts w:hint="default" w:ascii="仿宋_GB2312" w:hAnsi="仿宋_GB2312" w:eastAsia="仿宋_GB2312" w:cs="仿宋_GB2312"/>
          <w:sz w:val="32"/>
          <w:szCs w:val="32"/>
          <w:lang w:val="en-US" w:eastAsia="zh-CN"/>
        </w:rPr>
        <w:t>6.48</w:t>
      </w:r>
      <w:r>
        <w:rPr>
          <w:rFonts w:hint="eastAsia" w:ascii="仿宋_GB2312" w:hAnsi="仿宋_GB2312" w:eastAsia="仿宋_GB2312" w:cs="仿宋_GB2312"/>
          <w:sz w:val="32"/>
          <w:szCs w:val="32"/>
          <w:lang w:val="en-US" w:eastAsia="zh-CN"/>
        </w:rPr>
        <w:t>%，该项目主要是对变压器外表进行擦洗及器身干燥，租用十里铺村原有厂区和厂房进行建设，建设内容在厂房内划分各工作区，安装所需设备和管路线路改造。</w:t>
      </w:r>
      <w:r>
        <w:rPr>
          <w:rFonts w:hint="eastAsia" w:ascii="仿宋_GB2312" w:hAnsi="仿宋_GB2312" w:eastAsia="仿宋_GB2312" w:cs="仿宋_GB2312"/>
          <w:sz w:val="32"/>
          <w:szCs w:val="32"/>
        </w:rPr>
        <w:t>依据技术评估报告，项目在全面落实《报告表》提出的各项生态保护措施</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，项目实施</w:t>
      </w:r>
      <w:r>
        <w:rPr>
          <w:rFonts w:hint="eastAsia" w:ascii="仿宋_GB2312" w:hAnsi="仿宋_GB2312" w:eastAsia="仿宋_GB2312" w:cs="仿宋_GB2312"/>
          <w:sz w:val="32"/>
          <w:szCs w:val="32"/>
          <w:lang w:eastAsia="zh-CN"/>
        </w:rPr>
        <w:t>对区域环境影响可接受。</w:t>
      </w:r>
      <w:r>
        <w:rPr>
          <w:rFonts w:hint="eastAsia" w:ascii="仿宋_GB2312" w:hAnsi="仿宋_GB2312" w:eastAsia="仿宋_GB2312" w:cs="仿宋_GB2312"/>
          <w:sz w:val="32"/>
          <w:szCs w:val="32"/>
        </w:rPr>
        <w:t>我局原则同意《报告表》中所列建设项目性质、规模、地点、生产工艺</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拟采取的环境保护措施及相关要求。</w:t>
      </w:r>
    </w:p>
    <w:p w14:paraId="693FF0CE">
      <w:pPr>
        <w:keepNext w:val="0"/>
        <w:keepLines w:val="0"/>
        <w:pageBreakBefore w:val="0"/>
        <w:kinsoku/>
        <w:wordWrap/>
        <w:overflowPunct/>
        <w:topLinePunct w:val="0"/>
        <w:autoSpaceDE/>
        <w:autoSpaceDN/>
        <w:bidi w:val="0"/>
        <w:adjustRightInd/>
        <w:spacing w:line="6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对照</w:t>
      </w:r>
      <w:r>
        <w:rPr>
          <w:rFonts w:hint="eastAsia" w:ascii="仿宋_GB2312" w:hAnsi="仿宋_GB2312" w:eastAsia="仿宋_GB2312" w:cs="仿宋_GB2312"/>
          <w:bCs/>
          <w:sz w:val="32"/>
          <w:szCs w:val="32"/>
        </w:rPr>
        <w:t>《报告表》提出的各项环保要求，重点做好以下工作：</w:t>
      </w:r>
    </w:p>
    <w:p w14:paraId="5462D92E">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（一）落实施工期</w:t>
      </w:r>
      <w:r>
        <w:rPr>
          <w:rFonts w:hint="default" w:ascii="Times New Roman" w:hAnsi="Times New Roman" w:eastAsia="仿宋_GB2312" w:cs="Times New Roman"/>
          <w:color w:val="000000"/>
          <w:sz w:val="32"/>
          <w:szCs w:val="32"/>
          <w:lang w:val="en-US" w:eastAsia="zh-CN"/>
        </w:rPr>
        <w:t>环境</w:t>
      </w:r>
      <w:r>
        <w:rPr>
          <w:rFonts w:hint="eastAsia" w:ascii="Times New Roman" w:hAnsi="Times New Roman" w:eastAsia="仿宋_GB2312" w:cs="Times New Roman"/>
          <w:color w:val="000000"/>
          <w:sz w:val="32"/>
          <w:szCs w:val="32"/>
          <w:lang w:val="en-US" w:eastAsia="zh-CN"/>
        </w:rPr>
        <w:t>保护措施</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落实</w:t>
      </w:r>
      <w:r>
        <w:rPr>
          <w:rFonts w:hint="default" w:ascii="Times New Roman" w:hAnsi="Times New Roman" w:eastAsia="仿宋_GB2312" w:cs="Times New Roman"/>
          <w:color w:val="000000"/>
          <w:sz w:val="32"/>
          <w:szCs w:val="32"/>
          <w:lang w:val="en-US" w:eastAsia="zh-CN"/>
        </w:rPr>
        <w:t>《报告表》提出的</w:t>
      </w:r>
      <w:r>
        <w:rPr>
          <w:rFonts w:hint="eastAsia" w:ascii="Times New Roman" w:hAnsi="Times New Roman" w:eastAsia="仿宋_GB2312" w:cs="Times New Roman"/>
          <w:color w:val="000000"/>
          <w:sz w:val="32"/>
          <w:szCs w:val="32"/>
          <w:lang w:val="en-US" w:eastAsia="zh-CN"/>
        </w:rPr>
        <w:t>粉尘、水、固体废物、噪声等各项</w:t>
      </w:r>
      <w:r>
        <w:rPr>
          <w:rFonts w:hint="default" w:ascii="Times New Roman" w:hAnsi="Times New Roman" w:eastAsia="仿宋_GB2312" w:cs="Times New Roman"/>
          <w:color w:val="000000"/>
          <w:sz w:val="32"/>
          <w:szCs w:val="32"/>
          <w:lang w:val="en-US" w:eastAsia="zh-CN"/>
        </w:rPr>
        <w:t>污染防治措施，降低对周边环境的影响。</w:t>
      </w:r>
    </w:p>
    <w:p w14:paraId="32E6BD27">
      <w:pPr>
        <w:keepNext w:val="0"/>
        <w:keepLines w:val="0"/>
        <w:pageBreakBefore w:val="0"/>
        <w:kinsoku/>
        <w:wordWrap/>
        <w:overflowPunct/>
        <w:topLinePunct w:val="0"/>
        <w:bidi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（二）强化运营期的环境保护措施。</w:t>
      </w:r>
    </w:p>
    <w:p w14:paraId="0771D5E0">
      <w:pPr>
        <w:keepNext w:val="0"/>
        <w:keepLines w:val="0"/>
        <w:pageBreakBefore w:val="0"/>
        <w:kinsoku/>
        <w:wordWrap/>
        <w:overflowPunct/>
        <w:topLinePunct w:val="0"/>
        <w:bidi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落实水污染防治。</w:t>
      </w:r>
      <w:r>
        <w:rPr>
          <w:rFonts w:hint="eastAsia" w:ascii="仿宋_GB2312" w:hAnsi="仿宋_GB2312" w:eastAsia="仿宋_GB2312" w:cs="仿宋_GB2312"/>
          <w:sz w:val="32"/>
          <w:szCs w:val="32"/>
          <w:lang w:eastAsia="zh-CN"/>
        </w:rPr>
        <w:t>生活污水排入厂区化粪池处理后定期清掏。生产车间、危废贮存点、清洗池、库房、设备间等均按要求采取严格防渗措施，加强设备维护杜绝非正常排放。</w:t>
      </w:r>
    </w:p>
    <w:p w14:paraId="3114271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落实噪声污染防治。选用</w:t>
      </w:r>
      <w:r>
        <w:rPr>
          <w:rFonts w:hint="eastAsia" w:ascii="仿宋_GB2312" w:hAnsi="仿宋_GB2312" w:eastAsia="仿宋_GB2312" w:cs="仿宋_GB2312"/>
          <w:sz w:val="32"/>
          <w:szCs w:val="32"/>
          <w:lang w:eastAsia="zh-CN"/>
        </w:rPr>
        <w:t>低噪声设备，采取</w:t>
      </w:r>
      <w:r>
        <w:rPr>
          <w:rFonts w:hint="eastAsia" w:ascii="仿宋_GB2312" w:hAnsi="仿宋_GB2312" w:eastAsia="仿宋_GB2312" w:cs="仿宋_GB2312"/>
          <w:sz w:val="32"/>
          <w:szCs w:val="32"/>
          <w:lang w:val="en-US" w:eastAsia="zh-CN"/>
        </w:rPr>
        <w:t>安装减震垫、厂房隔声等措施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加强设备</w:t>
      </w:r>
      <w:r>
        <w:rPr>
          <w:rFonts w:hint="eastAsia" w:ascii="仿宋_GB2312" w:hAnsi="仿宋_GB2312" w:eastAsia="仿宋_GB2312" w:cs="仿宋_GB2312"/>
          <w:sz w:val="32"/>
          <w:szCs w:val="32"/>
          <w:lang w:eastAsia="zh-CN"/>
        </w:rPr>
        <w:t>日常维护保养，执行《工业企业厂界环境噪声排放标准》（GB12348-2008）2类区要求</w:t>
      </w:r>
      <w:r>
        <w:rPr>
          <w:rFonts w:hint="eastAsia" w:ascii="仿宋_GB2312" w:hAnsi="仿宋_GB2312" w:eastAsia="仿宋_GB2312" w:cs="仿宋_GB2312"/>
          <w:sz w:val="32"/>
          <w:szCs w:val="32"/>
        </w:rPr>
        <w:t>。</w:t>
      </w:r>
    </w:p>
    <w:p w14:paraId="0933730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、严格落实固体废物污染防治。</w:t>
      </w:r>
      <w:r>
        <w:rPr>
          <w:rFonts w:hint="eastAsia" w:ascii="仿宋_GB2312" w:eastAsia="仿宋_GB2312"/>
          <w:color w:val="auto"/>
          <w:sz w:val="32"/>
          <w:szCs w:val="32"/>
        </w:rPr>
        <w:t>按照“减量化、资源化、无害化”原则，切实做好固体废物的分类收集和妥善处置。</w:t>
      </w:r>
      <w:r>
        <w:rPr>
          <w:rFonts w:hint="eastAsia" w:ascii="仿宋_GB2312" w:hAnsi="仿宋_GB2312" w:eastAsia="仿宋_GB2312" w:cs="仿宋_GB2312"/>
          <w:sz w:val="32"/>
          <w:szCs w:val="32"/>
        </w:rPr>
        <w:t>生活垃圾</w:t>
      </w:r>
      <w:r>
        <w:rPr>
          <w:rFonts w:hint="eastAsia" w:ascii="仿宋_GB2312" w:hAnsi="仿宋_GB2312" w:eastAsia="仿宋_GB2312" w:cs="仿宋_GB2312"/>
          <w:sz w:val="32"/>
          <w:szCs w:val="32"/>
          <w:lang w:eastAsia="zh-CN"/>
        </w:rPr>
        <w:t>分类处理集中收集后交由</w:t>
      </w:r>
      <w:r>
        <w:rPr>
          <w:rFonts w:hint="eastAsia" w:ascii="仿宋_GB2312" w:hAnsi="仿宋_GB2312" w:eastAsia="仿宋_GB2312" w:cs="仿宋_GB2312"/>
          <w:sz w:val="32"/>
          <w:szCs w:val="32"/>
        </w:rPr>
        <w:t>环卫部门</w:t>
      </w:r>
      <w:r>
        <w:rPr>
          <w:rFonts w:hint="eastAsia" w:ascii="仿宋_GB2312" w:hAnsi="仿宋_GB2312" w:eastAsia="仿宋_GB2312" w:cs="仿宋_GB2312"/>
          <w:sz w:val="32"/>
          <w:szCs w:val="32"/>
          <w:lang w:eastAsia="zh-CN"/>
        </w:rPr>
        <w:t>统一处理，</w:t>
      </w:r>
      <w:r>
        <w:rPr>
          <w:rFonts w:hint="eastAsia" w:ascii="仿宋_GB2312" w:eastAsia="仿宋_GB2312"/>
          <w:color w:val="auto"/>
          <w:sz w:val="32"/>
          <w:szCs w:val="32"/>
          <w:lang w:eastAsia="zh-CN"/>
        </w:rPr>
        <w:t>变压器拆解产生的破损报废元器件由委托单位回收处理，变压器外壳清洗使用后的含油废棉纱、手套暂存于危废贮存点，委托危废处置单位定期清运处理；变压器外壳</w:t>
      </w:r>
      <w:r>
        <w:rPr>
          <w:rFonts w:hint="eastAsia" w:ascii="仿宋_GB2312" w:hAnsi="仿宋_GB2312" w:eastAsia="仿宋_GB2312" w:cs="仿宋_GB2312"/>
          <w:sz w:val="32"/>
          <w:szCs w:val="32"/>
          <w:lang w:eastAsia="zh-CN"/>
        </w:rPr>
        <w:t>清洗废液收集于废液桶内，暂存于危废贮存点，定期交由有资质单位处置；气相干燥罐排出冷凝水和</w:t>
      </w:r>
      <w:r>
        <w:rPr>
          <w:rFonts w:hint="eastAsia" w:ascii="仿宋_GB2312" w:eastAsia="仿宋_GB2312"/>
          <w:color w:val="auto"/>
          <w:sz w:val="32"/>
          <w:szCs w:val="32"/>
          <w:lang w:eastAsia="zh-CN"/>
        </w:rPr>
        <w:t>定期更换下的废导热油收集于废液桶，密封</w:t>
      </w:r>
      <w:r>
        <w:rPr>
          <w:rFonts w:hint="eastAsia" w:ascii="仿宋_GB2312" w:hAnsi="仿宋_GB2312" w:eastAsia="仿宋_GB2312" w:cs="仿宋_GB2312"/>
          <w:sz w:val="32"/>
          <w:szCs w:val="32"/>
          <w:lang w:eastAsia="zh-CN"/>
        </w:rPr>
        <w:t>暂存于危废贮存点，</w:t>
      </w:r>
      <w:r>
        <w:rPr>
          <w:rFonts w:hint="eastAsia" w:ascii="仿宋_GB2312" w:eastAsia="仿宋_GB2312"/>
          <w:color w:val="auto"/>
          <w:sz w:val="32"/>
          <w:szCs w:val="32"/>
          <w:lang w:eastAsia="zh-CN"/>
        </w:rPr>
        <w:t>定期交由有资质单位处置。危废贮存点</w:t>
      </w:r>
      <w:r>
        <w:rPr>
          <w:rFonts w:hint="eastAsia" w:ascii="仿宋_GB2312" w:hAnsi="仿宋_GB2312" w:eastAsia="仿宋_GB2312" w:cs="仿宋_GB2312"/>
          <w:color w:val="auto"/>
          <w:sz w:val="32"/>
          <w:szCs w:val="32"/>
          <w:lang w:eastAsia="zh-CN"/>
        </w:rPr>
        <w:t>应满足《危险废物贮存污染控制标准》（GB18597-2023）相关要求。</w:t>
      </w:r>
    </w:p>
    <w:p w14:paraId="3BBDD1B0">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bCs/>
          <w:color w:val="auto"/>
          <w:sz w:val="32"/>
          <w:szCs w:val="32"/>
        </w:rPr>
        <w:t>严格落实环境管理制度。你</w:t>
      </w:r>
      <w:r>
        <w:rPr>
          <w:rFonts w:hint="eastAsia" w:ascii="仿宋_GB2312" w:hAnsi="仿宋_GB2312" w:eastAsia="仿宋_GB2312" w:cs="仿宋_GB2312"/>
          <w:bCs/>
          <w:color w:val="auto"/>
          <w:sz w:val="32"/>
          <w:szCs w:val="32"/>
          <w:lang w:eastAsia="zh-CN"/>
        </w:rPr>
        <w:t>公司</w:t>
      </w:r>
      <w:r>
        <w:rPr>
          <w:rFonts w:hint="eastAsia" w:ascii="仿宋_GB2312" w:hAnsi="仿宋_GB2312" w:eastAsia="仿宋_GB2312" w:cs="仿宋_GB2312"/>
          <w:bCs/>
          <w:color w:val="auto"/>
          <w:sz w:val="32"/>
          <w:szCs w:val="32"/>
        </w:rPr>
        <w:t>要建立健全各项环境管理制度，按要求设置相应的环境管理机构和人员，负责项目实施和运营过程的环境管理工作；加强项目环境风险防范，严格落实《报告</w:t>
      </w:r>
      <w:r>
        <w:rPr>
          <w:rFonts w:hint="eastAsia" w:ascii="仿宋_GB2312" w:hAnsi="仿宋_GB2312" w:eastAsia="仿宋_GB2312" w:cs="仿宋_GB2312"/>
          <w:bCs/>
          <w:color w:val="auto"/>
          <w:sz w:val="32"/>
          <w:szCs w:val="32"/>
          <w:lang w:eastAsia="zh-CN"/>
        </w:rPr>
        <w:t>表</w:t>
      </w:r>
      <w:r>
        <w:rPr>
          <w:rFonts w:hint="eastAsia" w:ascii="仿宋_GB2312" w:hAnsi="仿宋_GB2312" w:eastAsia="仿宋_GB2312" w:cs="仿宋_GB2312"/>
          <w:bCs/>
          <w:color w:val="auto"/>
          <w:sz w:val="32"/>
          <w:szCs w:val="32"/>
        </w:rPr>
        <w:t>》提出的各项环境风险防范措施，规范编制突发环境事件应急预案，</w:t>
      </w:r>
      <w:r>
        <w:rPr>
          <w:rFonts w:hint="eastAsia" w:ascii="仿宋_GB2312" w:hAnsi="仿宋_GB2312" w:eastAsia="仿宋_GB2312" w:cs="仿宋_GB2312"/>
          <w:color w:val="auto"/>
          <w:sz w:val="32"/>
          <w:szCs w:val="32"/>
        </w:rPr>
        <w:t>提高环境风险防范意识与应急能力，</w:t>
      </w:r>
      <w:r>
        <w:rPr>
          <w:rFonts w:hint="eastAsia" w:ascii="仿宋_GB2312" w:hAnsi="仿宋_GB2312" w:eastAsia="仿宋_GB2312" w:cs="仿宋_GB2312"/>
          <w:bCs/>
          <w:color w:val="auto"/>
          <w:sz w:val="32"/>
          <w:szCs w:val="32"/>
        </w:rPr>
        <w:t>储备环境应急物资，并定期开展应急演练；严格履行《报告</w:t>
      </w:r>
      <w:r>
        <w:rPr>
          <w:rFonts w:hint="eastAsia" w:ascii="仿宋_GB2312" w:hAnsi="仿宋_GB2312" w:eastAsia="仿宋_GB2312" w:cs="仿宋_GB2312"/>
          <w:bCs/>
          <w:color w:val="auto"/>
          <w:sz w:val="32"/>
          <w:szCs w:val="32"/>
          <w:lang w:eastAsia="zh-CN"/>
        </w:rPr>
        <w:t>表</w:t>
      </w:r>
      <w:r>
        <w:rPr>
          <w:rFonts w:hint="eastAsia" w:ascii="仿宋_GB2312" w:hAnsi="仿宋_GB2312" w:eastAsia="仿宋_GB2312" w:cs="仿宋_GB2312"/>
          <w:bCs/>
          <w:color w:val="auto"/>
          <w:sz w:val="32"/>
          <w:szCs w:val="32"/>
        </w:rPr>
        <w:t>》制订的环境监测计划，定期对废气</w:t>
      </w:r>
      <w:r>
        <w:rPr>
          <w:rFonts w:hint="eastAsia" w:ascii="仿宋_GB2312" w:hAnsi="仿宋_GB2312" w:eastAsia="仿宋_GB2312" w:cs="仿宋_GB2312"/>
          <w:bCs/>
          <w:color w:val="auto"/>
          <w:sz w:val="32"/>
          <w:szCs w:val="32"/>
          <w:lang w:eastAsia="zh-CN"/>
        </w:rPr>
        <w:t>、废水、</w:t>
      </w:r>
      <w:r>
        <w:rPr>
          <w:rFonts w:hint="eastAsia" w:ascii="仿宋_GB2312" w:hAnsi="仿宋_GB2312" w:eastAsia="仿宋_GB2312" w:cs="仿宋_GB2312"/>
          <w:bCs/>
          <w:color w:val="auto"/>
          <w:sz w:val="32"/>
          <w:szCs w:val="32"/>
        </w:rPr>
        <w:t>噪声进行监测，并根据监测结果及时采取补救措施，妥善解决可能出现的环境问题，确保环境安全</w:t>
      </w:r>
      <w:r>
        <w:rPr>
          <w:rFonts w:hint="eastAsia" w:ascii="仿宋_GB2312" w:hAnsi="仿宋_GB2312" w:eastAsia="仿宋_GB2312" w:cs="仿宋_GB2312"/>
          <w:color w:val="auto"/>
          <w:sz w:val="32"/>
          <w:szCs w:val="32"/>
        </w:rPr>
        <w:t>。</w:t>
      </w:r>
    </w:p>
    <w:p w14:paraId="3CC7CD8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严格落实厂区的</w:t>
      </w:r>
      <w:r>
        <w:rPr>
          <w:rFonts w:hint="eastAsia" w:ascii="仿宋_GB2312" w:hAnsi="仿宋_GB2312" w:eastAsia="仿宋_GB2312" w:cs="仿宋_GB2312"/>
          <w:color w:val="auto"/>
          <w:sz w:val="32"/>
          <w:szCs w:val="32"/>
          <w:lang w:eastAsia="zh-CN"/>
        </w:rPr>
        <w:t>硬化、绿化美化及防沙治沙等相关措施，着力提升厂容厂貌，全面提升厂区形象。</w:t>
      </w:r>
    </w:p>
    <w:p w14:paraId="723F43B9">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kern w:val="2"/>
          <w:sz w:val="32"/>
          <w:szCs w:val="32"/>
          <w:lang w:val="en-US" w:eastAsia="zh-CN" w:bidi="ar-SA"/>
        </w:rPr>
        <w:t>三</w:t>
      </w:r>
      <w:r>
        <w:rPr>
          <w:rFonts w:hint="default" w:ascii="仿宋_GB2312" w:hAnsi="仿宋_GB2312" w:eastAsia="仿宋_GB2312" w:cs="仿宋_GB2312"/>
          <w:kern w:val="2"/>
          <w:sz w:val="32"/>
          <w:szCs w:val="32"/>
          <w:lang w:val="en-US" w:eastAsia="zh-CN" w:bidi="ar-SA"/>
        </w:rPr>
        <w:t>、建立健全项目信息公开机制，按照《建设项目环境影响评价信息公开机制方案》等要求，及时、如实向</w:t>
      </w:r>
      <w:r>
        <w:rPr>
          <w:rFonts w:hint="default" w:ascii="Times New Roman" w:hAnsi="Times New Roman" w:eastAsia="仿宋_GB2312" w:cs="Times New Roman"/>
          <w:color w:val="000000"/>
          <w:sz w:val="32"/>
          <w:szCs w:val="32"/>
        </w:rPr>
        <w:t>社会公开项目相关信息，并主动接受社会监督。</w:t>
      </w:r>
    </w:p>
    <w:p w14:paraId="624401C3">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、你公司</w:t>
      </w:r>
      <w:r>
        <w:rPr>
          <w:rFonts w:hint="eastAsia"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严格执行环保“三同时”制度，严格执行国家排污许可有关管理规定，按照国家规定的标准和程序实施竣工环境保护验收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如项目的性质、规模、位置、工艺或者防治污染</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防止生态破坏的措施发生重大变动的，应当重新报批建设项目的环境影响评价文件。</w:t>
      </w:r>
    </w:p>
    <w:p w14:paraId="4BDA4680">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w:t>
      </w:r>
      <w:r>
        <w:rPr>
          <w:rFonts w:hint="eastAsia" w:ascii="仿宋_GB2312" w:hAnsi="仿宋_GB2312" w:eastAsia="仿宋_GB2312" w:cs="仿宋_GB2312"/>
          <w:bCs/>
          <w:color w:val="auto"/>
          <w:sz w:val="32"/>
          <w:szCs w:val="32"/>
        </w:rPr>
        <w:t>大同市生态环境保护综合行政执法队负责该项目日常监督管理工作</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 </w:t>
      </w:r>
    </w:p>
    <w:p w14:paraId="3AA58CC9">
      <w:pPr>
        <w:pStyle w:val="2"/>
        <w:rPr>
          <w:rFonts w:hint="eastAsia"/>
        </w:rPr>
      </w:pPr>
    </w:p>
    <w:p w14:paraId="371F6F59">
      <w:pPr>
        <w:rPr>
          <w:rFonts w:hint="eastAsia"/>
        </w:rPr>
      </w:pPr>
    </w:p>
    <w:p w14:paraId="40621DA9">
      <w:pPr>
        <w:pStyle w:val="15"/>
        <w:rPr>
          <w:rFonts w:hint="eastAsia"/>
        </w:rPr>
      </w:pPr>
    </w:p>
    <w:p w14:paraId="58A6A28F">
      <w:pPr>
        <w:pStyle w:val="17"/>
        <w:rPr>
          <w:rFonts w:hint="eastAsia"/>
        </w:rPr>
      </w:pPr>
    </w:p>
    <w:p w14:paraId="17D152E5">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大同市</w:t>
      </w:r>
      <w:r>
        <w:rPr>
          <w:rFonts w:hint="eastAsia" w:ascii="Times New Roman" w:hAnsi="Times New Roman" w:eastAsia="仿宋_GB2312" w:cs="Times New Roman"/>
          <w:color w:val="000000"/>
          <w:kern w:val="2"/>
          <w:sz w:val="32"/>
          <w:szCs w:val="32"/>
          <w:lang w:val="en-US" w:eastAsia="zh-CN" w:bidi="ar-SA"/>
        </w:rPr>
        <w:t>生态环境局平城分局</w:t>
      </w:r>
    </w:p>
    <w:p w14:paraId="560B95E4">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w:t>
      </w:r>
      <w:r>
        <w:rPr>
          <w:rFonts w:hint="eastAsia" w:ascii="仿宋_GB2312" w:hAnsi="仿宋_GB2312" w:eastAsia="仿宋_GB2312" w:cs="仿宋_GB2312"/>
          <w:bCs/>
          <w:color w:val="auto"/>
          <w:kern w:val="2"/>
          <w:sz w:val="32"/>
          <w:szCs w:val="32"/>
          <w:lang w:val="en-US" w:eastAsia="zh-CN" w:bidi="ar-SA"/>
        </w:rPr>
        <w:t xml:space="preserve"> 2024年11月13日</w:t>
      </w:r>
    </w:p>
    <w:p w14:paraId="32F70E07">
      <w:pPr>
        <w:ind w:left="0" w:leftChars="0" w:firstLine="0" w:firstLineChars="0"/>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000010101"/>
    <w:charset w:val="86"/>
    <w:family w:val="auto"/>
    <w:pitch w:val="default"/>
    <w:sig w:usb0="00000000" w:usb1="00000000" w:usb2="00000000" w:usb3="00000000" w:csb0="00040000" w:csb1="00000000"/>
  </w:font>
  <w:font w:name="华文楷体">
    <w:altName w:val="宋体"/>
    <w:panose1 w:val="02010600040000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000010101"/>
    <w:charset w:val="86"/>
    <w:family w:val="auto"/>
    <w:pitch w:val="default"/>
    <w:sig w:usb0="00000000" w:usb1="00000000" w:usb2="00000000" w:usb3="00000000" w:csb0="0004009F" w:csb1="DFD70000"/>
  </w:font>
  <w:font w:name="阿里巴巴普惠体 2.0 115 Black">
    <w:altName w:val="宋体"/>
    <w:panose1 w:val="00020600040000010101"/>
    <w:charset w:val="86"/>
    <w:family w:val="auto"/>
    <w:pitch w:val="default"/>
    <w:sig w:usb0="00000000" w:usb1="00000000" w:usb2="0000001E"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NGY4NTNmYmNjMmZkNmY5ZTEzNDEyZjVlMWRhMWQifQ=="/>
  </w:docVars>
  <w:rsids>
    <w:rsidRoot w:val="00000000"/>
    <w:rsid w:val="09915FCA"/>
    <w:rsid w:val="168D4BC2"/>
    <w:rsid w:val="1C1E6D62"/>
    <w:rsid w:val="2E927C1C"/>
    <w:rsid w:val="35AA3DF1"/>
    <w:rsid w:val="363A2123"/>
    <w:rsid w:val="3BD0208E"/>
    <w:rsid w:val="41E00614"/>
    <w:rsid w:val="57E206E6"/>
    <w:rsid w:val="5D0B5B09"/>
    <w:rsid w:val="669B2EEC"/>
    <w:rsid w:val="6968035A"/>
    <w:rsid w:val="6A2B559C"/>
    <w:rsid w:val="6B070774"/>
    <w:rsid w:val="7A67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50" w:beforeLines="50" w:beforeAutospacing="0" w:after="50" w:afterLines="50" w:afterAutospacing="0" w:line="360" w:lineRule="auto"/>
      <w:ind w:firstLine="0" w:firstLineChars="0"/>
      <w:outlineLvl w:val="0"/>
    </w:pPr>
    <w:rPr>
      <w:rFonts w:eastAsia="楷体_GB2312"/>
      <w:b/>
      <w:bCs/>
      <w:kern w:val="44"/>
      <w:sz w:val="44"/>
      <w:szCs w:val="44"/>
    </w:rPr>
  </w:style>
  <w:style w:type="paragraph" w:styleId="4">
    <w:name w:val="heading 2"/>
    <w:basedOn w:val="1"/>
    <w:next w:val="1"/>
    <w:qFormat/>
    <w:uiPriority w:val="0"/>
    <w:pPr>
      <w:keepNext/>
      <w:keepLines/>
      <w:spacing w:before="50" w:beforeLines="50" w:beforeAutospacing="0" w:after="50" w:afterLines="50" w:afterAutospacing="0" w:line="360" w:lineRule="auto"/>
      <w:ind w:firstLine="0" w:firstLineChars="0"/>
      <w:outlineLvl w:val="1"/>
    </w:pPr>
    <w:rPr>
      <w:rFonts w:eastAsia="楷体_GB2312"/>
      <w:b/>
      <w:bCs/>
      <w:sz w:val="36"/>
      <w:szCs w:val="36"/>
    </w:rPr>
  </w:style>
  <w:style w:type="paragraph" w:styleId="5">
    <w:name w:val="heading 3"/>
    <w:basedOn w:val="1"/>
    <w:next w:val="1"/>
    <w:qFormat/>
    <w:uiPriority w:val="0"/>
    <w:pPr>
      <w:keepNext/>
      <w:keepLines/>
      <w:spacing w:before="50" w:beforeLines="50" w:beforeAutospacing="0" w:after="50" w:afterLines="50" w:afterAutospacing="0" w:line="360" w:lineRule="auto"/>
      <w:ind w:firstLine="0" w:firstLineChars="0"/>
      <w:outlineLvl w:val="2"/>
    </w:pPr>
    <w:rPr>
      <w:rFonts w:eastAsia="华文楷体"/>
      <w:b/>
      <w:sz w:val="32"/>
      <w:szCs w:val="32"/>
    </w:rPr>
  </w:style>
  <w:style w:type="paragraph" w:styleId="6">
    <w:name w:val="heading 4"/>
    <w:basedOn w:val="1"/>
    <w:next w:val="1"/>
    <w:qFormat/>
    <w:uiPriority w:val="0"/>
    <w:pPr>
      <w:keepNext/>
      <w:keepLines/>
      <w:spacing w:before="280" w:beforeAutospacing="0" w:after="290" w:afterAutospacing="0" w:line="372" w:lineRule="auto"/>
      <w:ind w:firstLine="0" w:firstLineChars="0"/>
      <w:outlineLvl w:val="3"/>
    </w:pPr>
    <w:rPr>
      <w:b/>
      <w:sz w:val="28"/>
      <w:szCs w:val="28"/>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Body Text First Indent 2"/>
    <w:basedOn w:val="1"/>
    <w:next w:val="1"/>
    <w:qFormat/>
    <w:uiPriority w:val="99"/>
    <w:pPr>
      <w:widowControl w:val="0"/>
      <w:ind w:firstLine="420"/>
      <w:jc w:val="both"/>
    </w:pPr>
    <w:rPr>
      <w:rFonts w:ascii="Calibri" w:hAnsi="Calibri" w:eastAsia="宋体" w:cs="Times New Roman"/>
      <w:kern w:val="2"/>
      <w:sz w:val="21"/>
      <w:szCs w:val="24"/>
      <w:lang w:val="en-US" w:eastAsia="zh-CN" w:bidi="ar-SA"/>
    </w:rPr>
  </w:style>
  <w:style w:type="paragraph" w:styleId="7">
    <w:name w:val="Body Text"/>
    <w:basedOn w:val="1"/>
    <w:next w:val="1"/>
    <w:qFormat/>
    <w:uiPriority w:val="0"/>
    <w:pPr>
      <w:widowControl w:val="0"/>
      <w:spacing w:line="540" w:lineRule="exact"/>
      <w:jc w:val="center"/>
    </w:pPr>
    <w:rPr>
      <w:rFonts w:ascii="Calibri" w:hAnsi="Calibri" w:eastAsia="华文中宋" w:cs="Times New Roman"/>
      <w:kern w:val="2"/>
      <w:sz w:val="40"/>
      <w:szCs w:val="24"/>
      <w:lang w:val="en-US" w:eastAsia="zh-CN" w:bidi="ar-SA"/>
    </w:rPr>
  </w:style>
  <w:style w:type="paragraph" w:styleId="8">
    <w:name w:val="Plain Text"/>
    <w:basedOn w:val="1"/>
    <w:next w:val="9"/>
    <w:qFormat/>
    <w:uiPriority w:val="0"/>
    <w:rPr>
      <w:rFonts w:hAnsi="Courier New" w:cs="Courier New"/>
      <w:szCs w:val="21"/>
    </w:rPr>
  </w:style>
  <w:style w:type="paragraph" w:styleId="9">
    <w:name w:val="Body Text First Indent"/>
    <w:basedOn w:val="7"/>
    <w:next w:val="1"/>
    <w:qFormat/>
    <w:uiPriority w:val="0"/>
    <w:pPr>
      <w:ind w:firstLine="420" w:firstLineChars="100"/>
    </w:pPr>
    <w:rPr>
      <w:sz w:val="21"/>
    </w:rPr>
  </w:style>
  <w:style w:type="paragraph" w:styleId="1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1">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character" w:styleId="14">
    <w:name w:val="page number"/>
    <w:qFormat/>
    <w:uiPriority w:val="0"/>
  </w:style>
  <w:style w:type="paragraph" w:customStyle="1" w:styleId="15">
    <w:name w:val="Default"/>
    <w:basedOn w:val="16"/>
    <w:next w:val="1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纯文本1"/>
    <w:basedOn w:val="1"/>
    <w:qFormat/>
    <w:uiPriority w:val="0"/>
    <w:pPr>
      <w:adjustRightInd w:val="0"/>
      <w:textAlignment w:val="baseline"/>
    </w:pPr>
    <w:rPr>
      <w:rFonts w:hAnsi="Courier New" w:eastAsia="仿宋_GB2312"/>
      <w:sz w:val="28"/>
      <w:szCs w:val="21"/>
    </w:rPr>
  </w:style>
  <w:style w:type="paragraph" w:customStyle="1" w:styleId="17">
    <w:name w:val="表格文字"/>
    <w:basedOn w:val="18"/>
    <w:next w:val="1"/>
    <w:qFormat/>
    <w:uiPriority w:val="0"/>
    <w:pPr>
      <w:spacing w:line="240" w:lineRule="auto"/>
      <w:ind w:firstLine="0" w:firstLineChars="0"/>
      <w:jc w:val="center"/>
    </w:pPr>
    <w:rPr>
      <w:rFonts w:hint="eastAsia"/>
      <w:sz w:val="21"/>
      <w:szCs w:val="21"/>
    </w:rPr>
  </w:style>
  <w:style w:type="paragraph" w:customStyle="1" w:styleId="18">
    <w:name w:val="表格标题"/>
    <w:basedOn w:val="8"/>
    <w:next w:val="1"/>
    <w:qFormat/>
    <w:uiPriority w:val="0"/>
    <w:pPr>
      <w:spacing w:line="420" w:lineRule="atLeast"/>
      <w:ind w:firstLine="0" w:firstLineChars="0"/>
      <w:jc w:val="center"/>
    </w:pPr>
  </w:style>
  <w:style w:type="paragraph" w:customStyle="1" w:styleId="19">
    <w:name w:val="001项目名称"/>
    <w:next w:val="1"/>
    <w:qFormat/>
    <w:uiPriority w:val="0"/>
    <w:pPr>
      <w:adjustRightInd w:val="0"/>
      <w:snapToGrid w:val="0"/>
      <w:spacing w:line="240" w:lineRule="auto"/>
      <w:ind w:firstLine="0" w:firstLineChars="0"/>
      <w:jc w:val="center"/>
    </w:pPr>
    <w:rPr>
      <w:rFonts w:ascii="Times New Roman" w:hAnsi="Times New Roman" w:eastAsia="阿里巴巴普惠体 2.0 115 Black" w:cs="宋体"/>
      <w:sz w:val="72"/>
      <w:szCs w:val="72"/>
    </w:rPr>
  </w:style>
  <w:style w:type="paragraph" w:customStyle="1" w:styleId="20">
    <w:name w:val="002报告名称"/>
    <w:next w:val="1"/>
    <w:qFormat/>
    <w:uiPriority w:val="0"/>
    <w:pPr>
      <w:adjustRightInd w:val="0"/>
      <w:snapToGrid w:val="0"/>
      <w:spacing w:line="360" w:lineRule="auto"/>
      <w:ind w:firstLine="0" w:firstLineChars="0"/>
      <w:jc w:val="center"/>
    </w:pPr>
    <w:rPr>
      <w:rFonts w:ascii="Times New Roman" w:hAnsi="Times New Roman" w:eastAsia="宋体" w:cs="宋体"/>
      <w:b/>
      <w:sz w:val="52"/>
      <w:szCs w:val="52"/>
    </w:rPr>
  </w:style>
  <w:style w:type="paragraph" w:customStyle="1" w:styleId="21">
    <w:name w:val="003报告版本"/>
    <w:next w:val="1"/>
    <w:qFormat/>
    <w:uiPriority w:val="0"/>
    <w:pPr>
      <w:adjustRightInd w:val="0"/>
      <w:snapToGrid w:val="0"/>
      <w:spacing w:line="360" w:lineRule="auto"/>
      <w:ind w:firstLine="0" w:firstLineChars="0"/>
      <w:jc w:val="center"/>
    </w:pPr>
    <w:rPr>
      <w:rFonts w:ascii="Times New Roman" w:hAnsi="Times New Roman" w:eastAsia="宋体" w:cs="宋体"/>
      <w:b/>
      <w:sz w:val="36"/>
      <w:szCs w:val="36"/>
    </w:rPr>
  </w:style>
  <w:style w:type="paragraph" w:customStyle="1" w:styleId="22">
    <w:name w:val="004建设单位和评价单位"/>
    <w:next w:val="1"/>
    <w:qFormat/>
    <w:uiPriority w:val="0"/>
    <w:pPr>
      <w:adjustRightInd w:val="0"/>
      <w:snapToGrid w:val="0"/>
      <w:spacing w:line="360" w:lineRule="auto"/>
      <w:ind w:firstLine="0" w:firstLineChars="0"/>
      <w:jc w:val="center"/>
    </w:pPr>
    <w:rPr>
      <w:rFonts w:ascii="Times New Roman" w:hAnsi="Times New Roman" w:eastAsia="楷体_GB2312" w:cs="宋体"/>
      <w:b/>
      <w:sz w:val="28"/>
      <w:szCs w:val="28"/>
    </w:rPr>
  </w:style>
  <w:style w:type="paragraph" w:customStyle="1" w:styleId="23">
    <w:name w:val="005日期"/>
    <w:next w:val="1"/>
    <w:qFormat/>
    <w:uiPriority w:val="0"/>
    <w:pPr>
      <w:adjustRightInd w:val="0"/>
      <w:snapToGrid w:val="0"/>
      <w:spacing w:line="360" w:lineRule="auto"/>
      <w:ind w:firstLine="0" w:firstLineChars="0"/>
      <w:jc w:val="center"/>
    </w:pPr>
    <w:rPr>
      <w:rFonts w:ascii="Times New Roman" w:hAnsi="Times New Roman" w:eastAsia="楷体_GB2312" w:cs="宋体"/>
      <w:b/>
      <w:sz w:val="28"/>
      <w:szCs w:val="28"/>
    </w:rPr>
  </w:style>
  <w:style w:type="paragraph" w:customStyle="1" w:styleId="24">
    <w:name w:val="表头"/>
    <w:basedOn w:val="1"/>
    <w:next w:val="1"/>
    <w:qFormat/>
    <w:uiPriority w:val="0"/>
    <w:pPr>
      <w:ind w:firstLine="0" w:firstLineChars="0"/>
      <w:jc w:val="center"/>
    </w:pPr>
    <w:rPr>
      <w:rFonts w:hint="eastAsia"/>
      <w:b/>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1451</Words>
  <Characters>1499</Characters>
  <Paragraphs>27</Paragraphs>
  <TotalTime>2</TotalTime>
  <ScaleCrop>false</ScaleCrop>
  <LinksUpToDate>false</LinksUpToDate>
  <CharactersWithSpaces>1596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2024-10-23T01:50:00Z</dcterms:created>
  <dc:creator>Administrator</dc:creator>
  <cp:lastModifiedBy>圆脸</cp:lastModifiedBy>
  <cp:lastPrinted>2024-11-13T08:08:05Z</cp:lastPrinted>
  <dcterms:modified xsi:type="dcterms:W3CDTF">2024-11-13T08:08:16Z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203179547535436DBDF706F36B957A06_13</vt:lpwstr>
  </property>
</Properties>
</file>