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firstLine="4800" w:firstLineChars="1600"/>
        <w:jc w:val="both"/>
        <w:rPr>
          <w:rFonts w:hint="eastAsia" w:ascii="仿宋" w:hAnsi="仿宋" w:eastAsia="仿宋"/>
          <w:sz w:val="30"/>
          <w:lang w:eastAsia="zh-CN"/>
        </w:rPr>
      </w:pPr>
    </w:p>
    <w:p>
      <w:pPr>
        <w:wordWrap w:val="0"/>
        <w:ind w:firstLine="4800" w:firstLineChars="1600"/>
        <w:jc w:val="both"/>
        <w:rPr>
          <w:rFonts w:hint="eastAsia" w:ascii="仿宋" w:hAnsi="仿宋" w:eastAsia="仿宋"/>
          <w:sz w:val="30"/>
        </w:rPr>
      </w:pPr>
      <w:r>
        <w:rPr>
          <w:rFonts w:hint="eastAsia" w:ascii="仿宋" w:hAnsi="仿宋" w:eastAsia="仿宋"/>
          <w:sz w:val="30"/>
          <w:lang w:eastAsia="zh-CN"/>
        </w:rPr>
        <w:t>平城环</w:t>
      </w:r>
      <w:r>
        <w:rPr>
          <w:rFonts w:hint="eastAsia" w:ascii="仿宋" w:hAnsi="仿宋" w:eastAsia="仿宋"/>
          <w:sz w:val="30"/>
        </w:rPr>
        <w:t>函〔20</w:t>
      </w:r>
      <w:r>
        <w:rPr>
          <w:rFonts w:hint="eastAsia" w:ascii="仿宋" w:hAnsi="仿宋" w:eastAsia="仿宋"/>
          <w:sz w:val="30"/>
          <w:lang w:val="en-US" w:eastAsia="zh-CN"/>
        </w:rPr>
        <w:t>24</w:t>
      </w:r>
      <w:r>
        <w:rPr>
          <w:rFonts w:hint="eastAsia" w:ascii="仿宋" w:hAnsi="仿宋" w:eastAsia="仿宋"/>
          <w:sz w:val="30"/>
        </w:rPr>
        <w:t>〕</w:t>
      </w:r>
      <w:r>
        <w:rPr>
          <w:rFonts w:hint="eastAsia" w:ascii="仿宋" w:hAnsi="仿宋" w:eastAsia="仿宋"/>
          <w:sz w:val="30"/>
          <w:lang w:val="en-US" w:eastAsia="zh-CN"/>
        </w:rPr>
        <w:t>3</w:t>
      </w:r>
      <w:r>
        <w:rPr>
          <w:rFonts w:hint="eastAsia" w:ascii="仿宋" w:hAnsi="仿宋" w:eastAsia="仿宋"/>
          <w:sz w:val="30"/>
        </w:rPr>
        <w:t>号</w:t>
      </w:r>
    </w:p>
    <w:p>
      <w:pPr>
        <w:jc w:val="center"/>
        <w:rPr>
          <w:rFonts w:hint="eastAsia" w:ascii="宋体" w:hAnsi="宋体" w:eastAsia="宋体" w:cs="宋体"/>
          <w:b/>
          <w:bCs/>
          <w:sz w:val="44"/>
          <w:szCs w:val="44"/>
        </w:rPr>
      </w:pPr>
    </w:p>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spacing w:val="-23"/>
          <w:w w:val="100"/>
          <w:sz w:val="44"/>
          <w:szCs w:val="44"/>
          <w:lang w:val="en-US" w:eastAsia="zh-CN"/>
        </w:rPr>
      </w:pPr>
      <w:r>
        <w:rPr>
          <w:rFonts w:hint="eastAsia" w:ascii="宋体" w:hAnsi="宋体" w:eastAsia="宋体" w:cs="宋体"/>
          <w:b/>
          <w:bCs/>
          <w:spacing w:val="-23"/>
          <w:w w:val="100"/>
          <w:sz w:val="44"/>
          <w:szCs w:val="44"/>
          <w:lang w:val="en-US" w:eastAsia="zh-CN"/>
        </w:rPr>
        <w:t>大同市生态环境局平城分局</w:t>
      </w:r>
    </w:p>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spacing w:val="-23"/>
          <w:w w:val="100"/>
          <w:sz w:val="44"/>
          <w:szCs w:val="44"/>
        </w:rPr>
      </w:pPr>
      <w:r>
        <w:rPr>
          <w:rFonts w:hint="eastAsia" w:ascii="宋体" w:hAnsi="宋体" w:eastAsia="宋体" w:cs="宋体"/>
          <w:b/>
          <w:bCs/>
          <w:spacing w:val="-23"/>
          <w:w w:val="100"/>
          <w:sz w:val="44"/>
          <w:szCs w:val="44"/>
          <w:lang w:val="en-US" w:eastAsia="zh-CN"/>
        </w:rPr>
        <w:t>关于大同市马兵食品有限公司年产焙烤食品加工项目环境影响报告表的批</w:t>
      </w:r>
      <w:r>
        <w:rPr>
          <w:rFonts w:hint="eastAsia" w:ascii="宋体" w:hAnsi="宋体" w:eastAsia="宋体" w:cs="宋体"/>
          <w:b/>
          <w:bCs/>
          <w:spacing w:val="-23"/>
          <w:w w:val="100"/>
          <w:sz w:val="44"/>
          <w:szCs w:val="44"/>
        </w:rPr>
        <w:t>复</w:t>
      </w:r>
    </w:p>
    <w:p>
      <w:pPr>
        <w:ind w:firstLine="791" w:firstLineChars="200"/>
        <w:jc w:val="center"/>
        <w:rPr>
          <w:rFonts w:hint="eastAsia" w:eastAsia="仿宋_GB2312"/>
          <w:b/>
          <w:bCs/>
          <w:spacing w:val="-23"/>
          <w:w w:val="100"/>
          <w:sz w:val="44"/>
          <w:szCs w:val="44"/>
        </w:rPr>
      </w:pPr>
    </w:p>
    <w:p>
      <w:pPr>
        <w:pStyle w:val="3"/>
        <w:keepNext w:val="0"/>
        <w:keepLines w:val="0"/>
        <w:pageBreakBefore w:val="0"/>
        <w:widowControl w:val="0"/>
        <w:kinsoku/>
        <w:wordWrap/>
        <w:overflowPunct/>
        <w:topLinePunct w:val="0"/>
        <w:autoSpaceDE/>
        <w:autoSpaceDN/>
        <w:bidi w:val="0"/>
        <w:adjustRightInd/>
        <w:snapToGrid/>
        <w:spacing w:line="720" w:lineRule="exact"/>
        <w:ind w:right="0" w:rightChars="0"/>
        <w:jc w:val="both"/>
        <w:textAlignment w:val="auto"/>
        <w:outlineLvl w:val="9"/>
        <w:rPr>
          <w:rFonts w:hint="eastAsia" w:ascii="仿宋" w:hAnsi="仿宋" w:eastAsia="仿宋" w:cs="仿宋"/>
          <w:b/>
          <w:sz w:val="32"/>
          <w:szCs w:val="32"/>
        </w:rPr>
      </w:pPr>
      <w:r>
        <w:rPr>
          <w:rFonts w:hint="eastAsia" w:ascii="仿宋" w:hAnsi="仿宋" w:eastAsia="仿宋" w:cs="仿宋"/>
          <w:b w:val="0"/>
          <w:bCs/>
          <w:sz w:val="32"/>
          <w:szCs w:val="32"/>
          <w:lang w:eastAsia="zh-CN"/>
        </w:rPr>
        <w:t>大同市马兵食品有限公司</w:t>
      </w:r>
      <w:r>
        <w:rPr>
          <w:rFonts w:hint="eastAsia" w:ascii="仿宋" w:hAnsi="仿宋" w:eastAsia="仿宋" w:cs="仿宋"/>
          <w:b w:val="0"/>
          <w:bCs/>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bCs/>
          <w:color w:val="auto"/>
          <w:szCs w:val="21"/>
        </w:rPr>
      </w:pPr>
      <w:r>
        <w:rPr>
          <w:rFonts w:hint="eastAsia" w:ascii="仿宋_GB2312" w:hAnsi="仿宋_GB2312" w:eastAsia="仿宋_GB2312" w:cs="仿宋_GB2312"/>
          <w:color w:val="auto"/>
          <w:sz w:val="32"/>
          <w:szCs w:val="32"/>
        </w:rPr>
        <w:t>你</w:t>
      </w:r>
      <w:r>
        <w:rPr>
          <w:rFonts w:hint="eastAsia" w:ascii="仿宋_GB2312" w:hAnsi="仿宋_GB2312" w:eastAsia="仿宋_GB2312" w:cs="仿宋_GB2312"/>
          <w:color w:val="auto"/>
          <w:sz w:val="32"/>
          <w:szCs w:val="32"/>
          <w:lang w:eastAsia="zh-CN"/>
        </w:rPr>
        <w:t>公司</w:t>
      </w:r>
      <w:r>
        <w:rPr>
          <w:rFonts w:hint="eastAsia" w:ascii="仿宋_GB2312" w:hAnsi="仿宋_GB2312" w:eastAsia="仿宋_GB2312" w:cs="仿宋_GB2312"/>
          <w:color w:val="auto"/>
          <w:sz w:val="32"/>
          <w:szCs w:val="32"/>
        </w:rPr>
        <w:t>报送的</w:t>
      </w:r>
      <w:r>
        <w:rPr>
          <w:rFonts w:hint="eastAsia" w:ascii="仿宋_GB2312" w:hAnsi="仿宋_GB2312" w:eastAsia="仿宋_GB2312" w:cs="仿宋_GB2312"/>
          <w:color w:val="auto"/>
          <w:sz w:val="32"/>
          <w:szCs w:val="32"/>
          <w:lang w:val="en-US" w:eastAsia="zh-CN"/>
        </w:rPr>
        <w:t>《关于</w:t>
      </w:r>
      <w:r>
        <w:rPr>
          <w:rFonts w:hint="eastAsia" w:ascii="仿宋_GB2312" w:hAnsi="仿宋_GB2312" w:eastAsia="仿宋_GB2312" w:cs="仿宋_GB2312"/>
          <w:color w:val="auto"/>
          <w:sz w:val="32"/>
          <w:szCs w:val="32"/>
        </w:rPr>
        <w:t>&lt;</w:t>
      </w:r>
      <w:r>
        <w:rPr>
          <w:rFonts w:hint="eastAsia" w:ascii="仿宋" w:hAnsi="仿宋" w:eastAsia="仿宋" w:cs="仿宋"/>
          <w:sz w:val="32"/>
          <w:szCs w:val="32"/>
          <w:lang w:val="en-US" w:eastAsia="zh-CN"/>
        </w:rPr>
        <w:t>大同市马兵食品有限公司年产焙烤食品加工项目环</w:t>
      </w:r>
      <w:r>
        <w:rPr>
          <w:rFonts w:hint="eastAsia" w:ascii="仿宋_GB2312" w:hAnsi="仿宋_GB2312" w:eastAsia="仿宋_GB2312" w:cs="仿宋_GB2312"/>
          <w:color w:val="auto"/>
          <w:sz w:val="32"/>
          <w:szCs w:val="32"/>
          <w:lang w:val="en-US" w:eastAsia="zh-CN"/>
        </w:rPr>
        <w:t>境影响报告表</w:t>
      </w:r>
      <w:r>
        <w:rPr>
          <w:rFonts w:hint="eastAsia" w:ascii="仿宋_GB2312" w:hAnsi="仿宋_GB2312" w:eastAsia="仿宋_GB2312" w:cs="仿宋_GB2312"/>
          <w:color w:val="auto"/>
          <w:sz w:val="32"/>
          <w:szCs w:val="32"/>
        </w:rPr>
        <w:t>&gt;</w:t>
      </w:r>
      <w:r>
        <w:rPr>
          <w:rFonts w:hint="eastAsia" w:ascii="仿宋_GB2312" w:hAnsi="仿宋_GB2312" w:eastAsia="仿宋_GB2312" w:cs="仿宋_GB2312"/>
          <w:color w:val="auto"/>
          <w:sz w:val="32"/>
          <w:szCs w:val="32"/>
          <w:lang w:val="en-US" w:eastAsia="zh-CN"/>
        </w:rPr>
        <w:t>（以下简称《报告表》）</w:t>
      </w:r>
      <w:r>
        <w:rPr>
          <w:rFonts w:hint="eastAsia" w:ascii="仿宋_GB2312" w:hAnsi="仿宋_GB2312" w:eastAsia="仿宋_GB2312" w:cs="仿宋_GB2312"/>
          <w:color w:val="auto"/>
          <w:sz w:val="32"/>
          <w:szCs w:val="32"/>
        </w:rPr>
        <w:t>报批申请</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lang w:eastAsia="zh-CN"/>
        </w:rPr>
        <w:t>告知承诺制审批承诺书等</w:t>
      </w:r>
      <w:r>
        <w:rPr>
          <w:rFonts w:hint="eastAsia" w:ascii="仿宋_GB2312" w:hAnsi="仿宋_GB2312" w:eastAsia="仿宋_GB2312" w:cs="仿宋_GB2312"/>
          <w:color w:val="auto"/>
          <w:sz w:val="32"/>
          <w:szCs w:val="32"/>
        </w:rPr>
        <w:t>相关</w:t>
      </w:r>
      <w:r>
        <w:rPr>
          <w:rFonts w:hint="eastAsia" w:ascii="仿宋_GB2312" w:hAnsi="仿宋_GB2312" w:eastAsia="仿宋_GB2312" w:cs="仿宋_GB2312"/>
          <w:color w:val="auto"/>
          <w:sz w:val="32"/>
          <w:szCs w:val="32"/>
          <w:lang w:eastAsia="zh-CN"/>
        </w:rPr>
        <w:t>材</w:t>
      </w:r>
      <w:r>
        <w:rPr>
          <w:rFonts w:hint="eastAsia" w:ascii="仿宋_GB2312" w:hAnsi="仿宋_GB2312" w:eastAsia="仿宋_GB2312" w:cs="仿宋_GB2312"/>
          <w:color w:val="auto"/>
          <w:sz w:val="32"/>
          <w:szCs w:val="32"/>
        </w:rPr>
        <w:t>料收悉。</w:t>
      </w:r>
      <w:r>
        <w:rPr>
          <w:rFonts w:hint="eastAsia" w:ascii="仿宋_GB2312" w:eastAsia="仿宋_GB2312"/>
          <w:color w:val="auto"/>
          <w:sz w:val="32"/>
          <w:szCs w:val="32"/>
        </w:rPr>
        <w:t>根</w:t>
      </w:r>
      <w:r>
        <w:rPr>
          <w:rFonts w:hint="eastAsia" w:ascii="仿宋_GB2312" w:hAnsi="Times New Roman" w:eastAsia="仿宋_GB2312" w:cs="Times New Roman"/>
          <w:color w:val="auto"/>
          <w:sz w:val="32"/>
          <w:szCs w:val="32"/>
        </w:rPr>
        <w:t>据</w:t>
      </w:r>
      <w:r>
        <w:rPr>
          <w:rFonts w:hint="eastAsia" w:ascii="仿宋_GB2312" w:eastAsia="仿宋_GB2312" w:cs="Times New Roman"/>
          <w:color w:val="auto"/>
          <w:sz w:val="32"/>
          <w:szCs w:val="32"/>
          <w:lang w:eastAsia="zh-CN"/>
        </w:rPr>
        <w:t>山西速捷奔腾环保科技有限公司</w:t>
      </w:r>
      <w:r>
        <w:rPr>
          <w:rFonts w:hint="eastAsia" w:ascii="仿宋" w:hAnsi="仿宋" w:eastAsia="仿宋" w:cs="仿宋"/>
          <w:sz w:val="32"/>
          <w:szCs w:val="32"/>
          <w:lang w:val="en-US" w:eastAsia="zh-CN"/>
        </w:rPr>
        <w:t>对该项目</w:t>
      </w:r>
      <w:r>
        <w:rPr>
          <w:rFonts w:hint="eastAsia" w:ascii="仿宋_GB2312" w:hAnsi="Times New Roman" w:eastAsia="仿宋_GB2312" w:cs="Times New Roman"/>
          <w:color w:val="auto"/>
          <w:sz w:val="32"/>
          <w:szCs w:val="32"/>
        </w:rPr>
        <w:t>（项目编码</w:t>
      </w:r>
      <w:r>
        <w:rPr>
          <w:rFonts w:hint="eastAsia" w:ascii="仿宋_GB2312" w:eastAsia="仿宋_GB2312" w:cs="Times New Roman"/>
          <w:color w:val="auto"/>
          <w:sz w:val="32"/>
          <w:szCs w:val="32"/>
          <w:lang w:val="en-US" w:eastAsia="zh-CN"/>
        </w:rPr>
        <w:t>4p2rxh</w:t>
      </w:r>
      <w:r>
        <w:rPr>
          <w:rFonts w:hint="eastAsia" w:ascii="仿宋_GB2312" w:hAnsi="Times New Roman" w:eastAsia="仿宋_GB2312" w:cs="Times New Roman"/>
          <w:color w:val="auto"/>
          <w:sz w:val="32"/>
          <w:szCs w:val="32"/>
        </w:rPr>
        <w:t>）开展环</w:t>
      </w:r>
      <w:r>
        <w:rPr>
          <w:rFonts w:hint="eastAsia" w:ascii="仿宋_GB2312" w:eastAsia="仿宋_GB2312"/>
          <w:color w:val="auto"/>
          <w:sz w:val="32"/>
          <w:szCs w:val="32"/>
        </w:rPr>
        <w:t>境影响评价的结论</w:t>
      </w:r>
      <w:r>
        <w:rPr>
          <w:rFonts w:hint="eastAsia" w:ascii="仿宋_GB2312" w:hAnsi="Times New Roman" w:eastAsia="仿宋_GB2312" w:cs="Times New Roman"/>
          <w:color w:val="auto"/>
          <w:sz w:val="32"/>
          <w:szCs w:val="32"/>
        </w:rPr>
        <w:t>，</w:t>
      </w:r>
      <w:r>
        <w:rPr>
          <w:rFonts w:hint="eastAsia" w:ascii="仿宋_GB2312" w:eastAsia="仿宋_GB2312"/>
          <w:color w:val="auto"/>
          <w:sz w:val="32"/>
          <w:szCs w:val="32"/>
        </w:rPr>
        <w:t>在全面落实</w:t>
      </w:r>
      <w:r>
        <w:rPr>
          <w:rFonts w:hint="eastAsia" w:ascii="仿宋_GB2312" w:eastAsia="仿宋_GB2312"/>
          <w:color w:val="auto"/>
          <w:sz w:val="32"/>
          <w:szCs w:val="32"/>
          <w:lang w:eastAsia="zh-CN"/>
        </w:rPr>
        <w:t>《</w:t>
      </w:r>
      <w:r>
        <w:rPr>
          <w:rFonts w:hint="eastAsia" w:ascii="仿宋_GB2312" w:eastAsia="仿宋_GB2312"/>
          <w:color w:val="auto"/>
          <w:sz w:val="32"/>
          <w:szCs w:val="32"/>
        </w:rPr>
        <w:t>报告表</w:t>
      </w:r>
      <w:r>
        <w:rPr>
          <w:rFonts w:hint="eastAsia" w:ascii="仿宋_GB2312" w:eastAsia="仿宋_GB2312"/>
          <w:color w:val="auto"/>
          <w:sz w:val="32"/>
          <w:szCs w:val="32"/>
          <w:lang w:eastAsia="zh-CN"/>
        </w:rPr>
        <w:t>》</w:t>
      </w:r>
      <w:r>
        <w:rPr>
          <w:rFonts w:hint="eastAsia" w:ascii="仿宋_GB2312" w:eastAsia="仿宋_GB2312"/>
          <w:color w:val="auto"/>
          <w:sz w:val="32"/>
          <w:szCs w:val="32"/>
        </w:rPr>
        <w:t>提出的各项防治生态破坏和环境污染措施的前提下，工程建设对环境的不利影响能够得到缓解和控制。我局原则同意该项目</w:t>
      </w:r>
      <w:r>
        <w:rPr>
          <w:rFonts w:hint="eastAsia" w:ascii="仿宋_GB2312" w:eastAsia="仿宋_GB2312"/>
          <w:color w:val="auto"/>
          <w:sz w:val="32"/>
          <w:szCs w:val="32"/>
          <w:lang w:eastAsia="zh-CN"/>
        </w:rPr>
        <w:t>《报告表》</w:t>
      </w:r>
      <w:r>
        <w:rPr>
          <w:rFonts w:hint="eastAsia" w:ascii="仿宋_GB2312" w:eastAsia="仿宋_GB2312"/>
          <w:color w:val="auto"/>
          <w:sz w:val="32"/>
          <w:szCs w:val="32"/>
        </w:rPr>
        <w:t>中所列建设项目的性质、规模、地点以及拟采取的环境保护措施。</w:t>
      </w:r>
      <w:r>
        <w:rPr>
          <w:rFonts w:hint="eastAsia" w:ascii="仿宋_GB2312" w:hAnsi="仿宋_GB2312" w:eastAsia="仿宋_GB2312" w:cs="仿宋_GB2312"/>
          <w:sz w:val="32"/>
          <w:szCs w:val="32"/>
          <w:lang w:val="en-US" w:eastAsia="zh-CN"/>
        </w:rPr>
        <w:t>核定该项目主要污染物排放总量控制指标为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颗粒物0.0</w:t>
      </w:r>
      <w:r>
        <w:rPr>
          <w:rFonts w:hint="eastAsia" w:ascii="仿宋_GB2312" w:hAnsi="仿宋_GB2312" w:eastAsia="仿宋_GB2312" w:cs="仿宋_GB2312"/>
          <w:color w:val="auto"/>
          <w:sz w:val="32"/>
          <w:szCs w:val="32"/>
          <w:lang w:val="en-US" w:eastAsia="zh-CN"/>
        </w:rPr>
        <w:t>00021</w:t>
      </w:r>
      <w:r>
        <w:rPr>
          <w:rFonts w:hint="eastAsia" w:ascii="仿宋_GB2312" w:hAnsi="仿宋_GB2312" w:eastAsia="仿宋_GB2312" w:cs="仿宋_GB2312"/>
          <w:color w:val="auto"/>
          <w:sz w:val="32"/>
          <w:szCs w:val="32"/>
          <w:lang w:eastAsia="zh-CN"/>
        </w:rPr>
        <w:t>吨</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rPr>
        <w:t>、二氧化硫0.</w:t>
      </w:r>
      <w:r>
        <w:rPr>
          <w:rFonts w:hint="eastAsia" w:ascii="仿宋_GB2312" w:hAnsi="仿宋_GB2312" w:eastAsia="仿宋_GB2312" w:cs="仿宋_GB2312"/>
          <w:color w:val="auto"/>
          <w:sz w:val="32"/>
          <w:szCs w:val="32"/>
          <w:lang w:val="en-US" w:eastAsia="zh-CN"/>
        </w:rPr>
        <w:t>0001372</w:t>
      </w:r>
      <w:r>
        <w:rPr>
          <w:rFonts w:hint="eastAsia" w:ascii="仿宋_GB2312" w:hAnsi="仿宋_GB2312" w:eastAsia="仿宋_GB2312" w:cs="仿宋_GB2312"/>
          <w:color w:val="auto"/>
          <w:sz w:val="32"/>
          <w:szCs w:val="32"/>
          <w:lang w:eastAsia="zh-CN"/>
        </w:rPr>
        <w:t>吨</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rPr>
        <w:t>、氮氧化物0.</w:t>
      </w:r>
      <w:r>
        <w:rPr>
          <w:rFonts w:hint="eastAsia" w:ascii="仿宋_GB2312" w:hAnsi="仿宋_GB2312" w:eastAsia="仿宋_GB2312" w:cs="仿宋_GB2312"/>
          <w:color w:val="auto"/>
          <w:sz w:val="32"/>
          <w:szCs w:val="32"/>
          <w:lang w:val="en-US" w:eastAsia="zh-CN"/>
        </w:rPr>
        <w:t>00021</w:t>
      </w:r>
      <w:r>
        <w:rPr>
          <w:rFonts w:hint="eastAsia" w:ascii="仿宋_GB2312" w:hAnsi="仿宋_GB2312" w:eastAsia="仿宋_GB2312" w:cs="仿宋_GB2312"/>
          <w:color w:val="auto"/>
          <w:sz w:val="32"/>
          <w:szCs w:val="32"/>
          <w:lang w:eastAsia="zh-CN"/>
        </w:rPr>
        <w:t>吨</w:t>
      </w:r>
      <w:r>
        <w:rPr>
          <w:rFonts w:hint="eastAsia" w:ascii="仿宋_GB2312" w:hAnsi="仿宋_GB2312" w:eastAsia="仿宋_GB2312" w:cs="仿宋_GB2312"/>
          <w:color w:val="auto"/>
          <w:sz w:val="32"/>
          <w:szCs w:val="32"/>
          <w:lang w:val="en-US" w:eastAsia="zh-CN"/>
        </w:rPr>
        <w:t>/年。</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rPr>
      </w:pPr>
      <w:r>
        <w:rPr>
          <w:rFonts w:hint="eastAsia" w:ascii="仿宋_GB2312" w:eastAsia="仿宋_GB2312"/>
          <w:color w:val="auto"/>
          <w:sz w:val="32"/>
          <w:szCs w:val="32"/>
        </w:rPr>
        <w:t>你</w:t>
      </w:r>
      <w:r>
        <w:rPr>
          <w:rFonts w:hint="eastAsia" w:ascii="仿宋_GB2312" w:eastAsia="仿宋_GB2312"/>
          <w:color w:val="auto"/>
          <w:sz w:val="32"/>
          <w:szCs w:val="32"/>
          <w:lang w:eastAsia="zh-CN"/>
        </w:rPr>
        <w:t>公司</w:t>
      </w:r>
      <w:r>
        <w:rPr>
          <w:rFonts w:hint="eastAsia" w:ascii="仿宋_GB2312" w:eastAsia="仿宋_GB2312"/>
          <w:color w:val="auto"/>
          <w:sz w:val="32"/>
          <w:szCs w:val="32"/>
        </w:rPr>
        <w:t>应当严格落实《报告表》提出的防治污染和防止生态破坏的措施，严格执行配套建设的环保设施与主体工程同时设计、同时施工、同时投产的环保“三同时”制度。项目竣工后，应按规定开展环境保护验收，经验收合格后，项目方可正式投入生产或者使用。</w:t>
      </w:r>
      <w:r>
        <w:rPr>
          <w:rFonts w:hint="eastAsia" w:ascii="仿宋_GB2312" w:hAnsi="仿宋_GB2312" w:eastAsia="仿宋_GB2312" w:cs="仿宋_GB2312"/>
          <w:color w:val="auto"/>
          <w:sz w:val="32"/>
          <w:szCs w:val="32"/>
        </w:rPr>
        <w:t>如项目的性质、规模、地点、工艺或者防</w:t>
      </w:r>
      <w:r>
        <w:rPr>
          <w:rFonts w:hint="eastAsia" w:ascii="仿宋_GB2312" w:hAnsi="Times New Roman" w:eastAsia="仿宋_GB2312" w:cs="Times New Roman"/>
          <w:color w:val="auto"/>
          <w:sz w:val="32"/>
          <w:szCs w:val="32"/>
        </w:rPr>
        <w:t>治污染、防止生态破坏的措施发生重大变动的，应当重新报批建设项目环境影响评价文件。</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市生态环境保护综合行政执法队负责该项目建设</w:t>
      </w:r>
      <w:r>
        <w:rPr>
          <w:rFonts w:hint="eastAsia" w:ascii="仿宋_GB2312" w:hAnsi="Times New Roman" w:eastAsia="仿宋_GB2312" w:cs="Times New Roman"/>
          <w:color w:val="auto"/>
          <w:sz w:val="32"/>
          <w:szCs w:val="32"/>
          <w:lang w:eastAsia="zh-CN"/>
        </w:rPr>
        <w:t>期</w:t>
      </w:r>
      <w:r>
        <w:rPr>
          <w:rFonts w:hint="eastAsia" w:ascii="仿宋_GB2312" w:hAnsi="Times New Roman" w:eastAsia="仿宋_GB2312" w:cs="Times New Roman"/>
          <w:color w:val="auto"/>
          <w:sz w:val="32"/>
          <w:szCs w:val="32"/>
        </w:rPr>
        <w:t xml:space="preserve">及运营期的日常监督管理工作。               </w:t>
      </w:r>
    </w:p>
    <w:p>
      <w:pPr>
        <w:pStyle w:val="4"/>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4160" w:firstLineChars="1300"/>
        <w:jc w:val="both"/>
        <w:textAlignment w:val="auto"/>
        <w:outlineLvl w:val="9"/>
        <w:rPr>
          <w:rFonts w:hint="eastAsia" w:ascii="仿宋" w:hAnsi="仿宋" w:eastAsia="仿宋" w:cs="仿宋"/>
          <w:sz w:val="32"/>
          <w:szCs w:val="32"/>
          <w:lang w:val="en-US" w:eastAsia="zh-CN"/>
        </w:rPr>
      </w:pPr>
    </w:p>
    <w:p>
      <w:pPr>
        <w:rPr>
          <w:rFonts w:hint="eastAsia"/>
          <w:lang w:val="en-US" w:eastAsia="zh-CN"/>
        </w:rPr>
      </w:pPr>
    </w:p>
    <w:p>
      <w:pPr>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4160" w:firstLineChars="1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大同市生态环境局平城分局</w:t>
      </w:r>
    </w:p>
    <w:p>
      <w:pPr>
        <w:pStyle w:val="4"/>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5120" w:firstLineChars="16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p>
      <w:bookmarkStart w:id="0" w:name="_GoBack"/>
      <w:bookmarkEnd w:id="0"/>
    </w:p>
    <w:sectPr>
      <w:footerReference r:id="rId3" w:type="default"/>
      <w:pgSz w:w="11906" w:h="16838"/>
      <w:pgMar w:top="1440" w:right="1706" w:bottom="1440" w:left="184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90500"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0500" cy="26289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15pt;mso-position-horizontal:outside;mso-position-horizontal-relative:margin;mso-wrap-style:none;z-index:251659264;mso-width-relative:page;mso-height-relative:page;" filled="f" stroked="f" coordsize="21600,21600" o:gfxdata="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HF7c0AAAAAMBAAAPAAAAAAAAAAEAIAAAACIAAABkcnMvZG93bnJl&#10;di54bWxQSwECFAAUAAAACACHTuJAHTIZ88wBAACXAwAADgAAAAAAAAABACAAAAAf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YjQxMTJkOGYyYWQzMWU0ZmY4NjgxYzEyYWQ5YWUifQ=="/>
  </w:docVars>
  <w:rsids>
    <w:rsidRoot w:val="226126DF"/>
    <w:rsid w:val="0C192CBE"/>
    <w:rsid w:val="226126DF"/>
    <w:rsid w:val="4667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pPr>
  </w:style>
  <w:style w:type="paragraph" w:styleId="3">
    <w:name w:val="Body Text"/>
    <w:basedOn w:val="1"/>
    <w:uiPriority w:val="0"/>
    <w:pPr>
      <w:spacing w:line="540" w:lineRule="exact"/>
      <w:jc w:val="center"/>
    </w:pPr>
    <w:rPr>
      <w:rFonts w:eastAsia="华文中宋"/>
      <w:sz w:val="40"/>
    </w:rPr>
  </w:style>
  <w:style w:type="paragraph" w:styleId="4">
    <w:name w:val="Date"/>
    <w:basedOn w:val="1"/>
    <w:next w:val="1"/>
    <w:uiPriority w:val="0"/>
    <w:pPr>
      <w:ind w:left="100" w:leftChars="2500"/>
    </w:pPr>
    <w:rPr>
      <w:rFonts w:eastAsia="仿宋_GB2312"/>
      <w:sz w:val="32"/>
    </w:rPr>
  </w:style>
  <w:style w:type="paragraph" w:styleId="5">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2024-03-12T00:47:00Z</dcterms:created>
  <dc:creator>轻舞流云♥娟</dc:creator>
  <cp:lastModifiedBy>轻舞流云♥娟</cp:lastModifiedBy>
  <dcterms:modified xsi:type="dcterms:W3CDTF">2024-03-14T06:33:01Z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6C26B72760094A649F9D20FA3B23685E_11</vt:lpwstr>
  </property>
</Properties>
</file>