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D04E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FF0000"/>
          <w:spacing w:val="68"/>
          <w:sz w:val="52"/>
          <w:szCs w:val="52"/>
          <w:u w:val="single"/>
          <w:lang w:val="en-US" w:eastAsia="zh-CN"/>
        </w:rPr>
      </w:pPr>
      <w:r>
        <w:rPr>
          <w:rFonts w:hint="eastAsia" w:ascii="方正小标宋简体" w:hAnsi="方正小标宋简体" w:eastAsia="方正小标宋简体" w:cs="方正小标宋简体"/>
          <w:color w:val="FF0000"/>
          <w:spacing w:val="68"/>
          <w:sz w:val="52"/>
          <w:szCs w:val="52"/>
          <w:u w:val="single"/>
          <w:lang w:val="en-US" w:eastAsia="zh-CN"/>
        </w:rPr>
        <w:t xml:space="preserve"> </w:t>
      </w:r>
      <w:r>
        <w:rPr>
          <w:rFonts w:hint="eastAsia" w:ascii="方正小标宋简体" w:hAnsi="方正小标宋简体" w:eastAsia="方正小标宋简体" w:cs="方正小标宋简体"/>
          <w:color w:val="FF0000"/>
          <w:spacing w:val="68"/>
          <w:sz w:val="52"/>
          <w:szCs w:val="52"/>
          <w:u w:val="single"/>
          <w:lang w:eastAsia="zh-CN"/>
        </w:rPr>
        <w:t>大同市生态环境局灵丘分局</w:t>
      </w:r>
      <w:r>
        <w:rPr>
          <w:rFonts w:hint="eastAsia" w:ascii="方正小标宋简体" w:hAnsi="方正小标宋简体" w:eastAsia="方正小标宋简体" w:cs="方正小标宋简体"/>
          <w:color w:val="FF0000"/>
          <w:spacing w:val="68"/>
          <w:sz w:val="52"/>
          <w:szCs w:val="52"/>
          <w:u w:val="single"/>
          <w:lang w:val="en-US" w:eastAsia="zh-CN"/>
        </w:rPr>
        <w:t xml:space="preserve"> </w:t>
      </w:r>
    </w:p>
    <w:p w14:paraId="1D3DB826">
      <w:pPr>
        <w:wordWrap w:val="0"/>
        <w:spacing w:line="600" w:lineRule="exact"/>
        <w:jc w:val="right"/>
        <w:rPr>
          <w:rFonts w:hint="eastAsia" w:ascii="仿宋" w:hAnsi="仿宋" w:eastAsia="仿宋" w:cs="仿宋"/>
          <w:spacing w:val="-11"/>
          <w:sz w:val="32"/>
          <w:szCs w:val="32"/>
          <w:lang w:val="en-US" w:eastAsia="zh-CN"/>
        </w:rPr>
      </w:pPr>
      <w:r>
        <w:rPr>
          <w:rFonts w:hint="eastAsia" w:ascii="仿宋" w:hAnsi="仿宋" w:eastAsia="仿宋" w:cs="仿宋"/>
          <w:spacing w:val="-11"/>
          <w:sz w:val="32"/>
          <w:szCs w:val="32"/>
          <w:lang w:eastAsia="zh-CN"/>
        </w:rPr>
        <w:t>灵环函〔</w:t>
      </w:r>
      <w:r>
        <w:rPr>
          <w:rFonts w:hint="eastAsia" w:ascii="仿宋" w:hAnsi="仿宋" w:eastAsia="仿宋" w:cs="仿宋"/>
          <w:spacing w:val="-11"/>
          <w:sz w:val="32"/>
          <w:szCs w:val="32"/>
          <w:lang w:val="en-US" w:eastAsia="zh-CN"/>
        </w:rPr>
        <w:t>2025〕10号</w:t>
      </w:r>
    </w:p>
    <w:p w14:paraId="279015E8">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仿宋" w:hAnsi="仿宋" w:eastAsia="仿宋" w:cs="仿宋"/>
          <w:spacing w:val="-11"/>
          <w:sz w:val="21"/>
          <w:szCs w:val="21"/>
          <w:lang w:val="en-US" w:eastAsia="zh-CN"/>
        </w:rPr>
      </w:pPr>
    </w:p>
    <w:p w14:paraId="45C48034">
      <w:pPr>
        <w:snapToGrid/>
        <w:spacing w:before="0" w:beforeAutospacing="0" w:after="0" w:afterAutospacing="0" w:line="600" w:lineRule="exact"/>
        <w:jc w:val="center"/>
        <w:textAlignment w:val="baseline"/>
        <w:rPr>
          <w:rStyle w:val="10"/>
          <w:rFonts w:hint="eastAsia" w:ascii="方正小标宋简体" w:hAnsi="方正小标宋简体" w:eastAsia="方正小标宋简体"/>
          <w:b w:val="0"/>
          <w:i w:val="0"/>
          <w:caps w:val="0"/>
          <w:spacing w:val="-11"/>
          <w:w w:val="100"/>
          <w:kern w:val="2"/>
          <w:sz w:val="44"/>
          <w:szCs w:val="44"/>
          <w:lang w:val="en-US" w:eastAsia="zh-CN" w:bidi="ar-SA"/>
        </w:rPr>
      </w:pPr>
      <w:r>
        <w:rPr>
          <w:rStyle w:val="10"/>
          <w:rFonts w:ascii="方正小标宋简体" w:hAnsi="方正小标宋简体" w:eastAsia="方正小标宋简体"/>
          <w:b w:val="0"/>
          <w:i w:val="0"/>
          <w:caps w:val="0"/>
          <w:spacing w:val="-11"/>
          <w:w w:val="100"/>
          <w:kern w:val="2"/>
          <w:sz w:val="44"/>
          <w:szCs w:val="44"/>
          <w:lang w:val="en-US" w:eastAsia="zh-CN" w:bidi="ar-SA"/>
        </w:rPr>
        <w:t>关于</w:t>
      </w:r>
      <w:r>
        <w:rPr>
          <w:rStyle w:val="10"/>
          <w:rFonts w:hint="eastAsia" w:ascii="方正小标宋简体" w:hAnsi="方正小标宋简体" w:eastAsia="方正小标宋简体"/>
          <w:b w:val="0"/>
          <w:i w:val="0"/>
          <w:caps w:val="0"/>
          <w:spacing w:val="-11"/>
          <w:w w:val="100"/>
          <w:kern w:val="2"/>
          <w:sz w:val="44"/>
          <w:szCs w:val="44"/>
          <w:lang w:val="en-US" w:eastAsia="zh-CN" w:bidi="ar-SA"/>
        </w:rPr>
        <w:t>灵丘县京力瑞基混凝土有限公司</w:t>
      </w:r>
    </w:p>
    <w:p w14:paraId="3127845E">
      <w:pPr>
        <w:snapToGrid/>
        <w:spacing w:before="0" w:beforeAutospacing="0" w:after="0" w:afterAutospacing="0" w:line="600" w:lineRule="exact"/>
        <w:jc w:val="center"/>
        <w:textAlignment w:val="baseline"/>
        <w:rPr>
          <w:rStyle w:val="10"/>
          <w:rFonts w:ascii="方正小标宋简体" w:hAnsi="方正小标宋简体" w:eastAsia="方正小标宋简体"/>
          <w:b w:val="0"/>
          <w:i w:val="0"/>
          <w:caps w:val="0"/>
          <w:spacing w:val="-11"/>
          <w:w w:val="100"/>
          <w:kern w:val="2"/>
          <w:sz w:val="44"/>
          <w:szCs w:val="44"/>
          <w:lang w:val="en-US" w:eastAsia="zh-CN" w:bidi="ar-SA"/>
        </w:rPr>
      </w:pPr>
      <w:r>
        <w:rPr>
          <w:rStyle w:val="10"/>
          <w:rFonts w:hint="eastAsia" w:ascii="方正小标宋简体" w:hAnsi="方正小标宋简体" w:eastAsia="方正小标宋简体"/>
          <w:b w:val="0"/>
          <w:i w:val="0"/>
          <w:caps w:val="0"/>
          <w:spacing w:val="-11"/>
          <w:w w:val="100"/>
          <w:kern w:val="2"/>
          <w:sz w:val="44"/>
          <w:szCs w:val="44"/>
          <w:lang w:val="en-US" w:eastAsia="zh-CN" w:bidi="ar-SA"/>
        </w:rPr>
        <w:t>扩建商砼生产线项目</w:t>
      </w:r>
      <w:r>
        <w:rPr>
          <w:rStyle w:val="10"/>
          <w:rFonts w:ascii="方正小标宋简体" w:hAnsi="方正小标宋简体" w:eastAsia="方正小标宋简体"/>
          <w:b w:val="0"/>
          <w:i w:val="0"/>
          <w:caps w:val="0"/>
          <w:spacing w:val="-11"/>
          <w:w w:val="100"/>
          <w:kern w:val="2"/>
          <w:sz w:val="44"/>
          <w:szCs w:val="44"/>
          <w:lang w:val="en-US" w:eastAsia="zh-CN" w:bidi="ar-SA"/>
        </w:rPr>
        <w:t>环境影响报告表的批复</w:t>
      </w:r>
    </w:p>
    <w:p w14:paraId="6EE37D17">
      <w:pPr>
        <w:snapToGrid/>
        <w:spacing w:before="0" w:beforeAutospacing="0" w:after="0" w:afterAutospacing="0" w:line="240" w:lineRule="auto"/>
        <w:jc w:val="center"/>
        <w:textAlignment w:val="baseline"/>
        <w:rPr>
          <w:rStyle w:val="10"/>
          <w:rFonts w:ascii="仿宋_GB2312" w:hAnsi="仿宋_GB2312" w:eastAsia="仿宋_GB2312"/>
          <w:b w:val="0"/>
          <w:i w:val="0"/>
          <w:caps w:val="0"/>
          <w:spacing w:val="0"/>
          <w:w w:val="100"/>
          <w:kern w:val="2"/>
          <w:sz w:val="21"/>
          <w:szCs w:val="21"/>
          <w:lang w:val="en-US" w:eastAsia="zh-CN" w:bidi="ar-SA"/>
        </w:rPr>
      </w:pPr>
    </w:p>
    <w:p w14:paraId="7466A066">
      <w:pPr>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jc w:val="both"/>
        <w:textAlignment w:val="baseline"/>
        <w:rPr>
          <w:rStyle w:val="10"/>
          <w:rFonts w:ascii="仿宋_GB2312" w:hAnsi="仿宋_GB2312" w:eastAsia="仿宋_GB2312"/>
          <w:b w:val="0"/>
          <w:i w:val="0"/>
          <w:caps w:val="0"/>
          <w:spacing w:val="0"/>
          <w:w w:val="100"/>
          <w:kern w:val="2"/>
          <w:sz w:val="32"/>
          <w:szCs w:val="32"/>
          <w:lang w:val="en-US" w:eastAsia="zh-CN" w:bidi="ar-SA"/>
        </w:rPr>
      </w:pPr>
      <w:bookmarkStart w:id="0" w:name="_GoBack"/>
      <w:r>
        <w:rPr>
          <w:rStyle w:val="10"/>
          <w:rFonts w:hint="eastAsia" w:ascii="仿宋_GB2312" w:hAnsi="仿宋" w:eastAsia="仿宋_GB2312"/>
          <w:b w:val="0"/>
          <w:i w:val="0"/>
          <w:caps w:val="0"/>
          <w:spacing w:val="0"/>
          <w:w w:val="100"/>
          <w:kern w:val="2"/>
          <w:sz w:val="32"/>
          <w:szCs w:val="32"/>
          <w:lang w:val="en-US" w:eastAsia="zh-CN" w:bidi="ar-SA"/>
        </w:rPr>
        <w:t>灵丘县京力瑞基混凝土有限公司</w:t>
      </w:r>
      <w:r>
        <w:rPr>
          <w:rStyle w:val="10"/>
          <w:rFonts w:ascii="仿宋_GB2312" w:hAnsi="仿宋_GB2312" w:eastAsia="仿宋_GB2312"/>
          <w:b w:val="0"/>
          <w:i w:val="0"/>
          <w:caps w:val="0"/>
          <w:spacing w:val="0"/>
          <w:w w:val="100"/>
          <w:kern w:val="2"/>
          <w:sz w:val="32"/>
          <w:szCs w:val="32"/>
          <w:lang w:val="en-US" w:eastAsia="zh-CN" w:bidi="ar-SA"/>
        </w:rPr>
        <w:t>：</w:t>
      </w:r>
    </w:p>
    <w:p w14:paraId="4150574D">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0"/>
          <w:rFonts w:ascii="仿宋_GB2312" w:hAnsi="仿宋" w:eastAsia="仿宋_GB2312"/>
          <w:b w:val="0"/>
          <w:i w:val="0"/>
          <w:caps w:val="0"/>
          <w:spacing w:val="0"/>
          <w:w w:val="100"/>
          <w:kern w:val="2"/>
          <w:sz w:val="32"/>
          <w:szCs w:val="32"/>
          <w:lang w:val="en-US" w:eastAsia="zh-CN" w:bidi="ar-SA"/>
        </w:rPr>
      </w:pPr>
      <w:r>
        <w:rPr>
          <w:rStyle w:val="10"/>
          <w:rFonts w:ascii="仿宋_GB2312" w:hAnsi="仿宋" w:eastAsia="仿宋_GB2312"/>
          <w:b w:val="0"/>
          <w:i w:val="0"/>
          <w:caps w:val="0"/>
          <w:spacing w:val="0"/>
          <w:w w:val="100"/>
          <w:kern w:val="2"/>
          <w:sz w:val="32"/>
          <w:szCs w:val="32"/>
          <w:lang w:val="en-US" w:eastAsia="zh-CN" w:bidi="ar-SA"/>
        </w:rPr>
        <w:t>你公司</w:t>
      </w:r>
      <w:r>
        <w:rPr>
          <w:rStyle w:val="10"/>
          <w:rFonts w:hint="eastAsia" w:ascii="仿宋_GB2312" w:hAnsi="仿宋" w:eastAsia="仿宋_GB2312"/>
          <w:b w:val="0"/>
          <w:i w:val="0"/>
          <w:caps w:val="0"/>
          <w:spacing w:val="0"/>
          <w:w w:val="100"/>
          <w:kern w:val="2"/>
          <w:sz w:val="32"/>
          <w:szCs w:val="32"/>
          <w:lang w:val="en-US" w:eastAsia="zh-CN" w:bidi="ar-SA"/>
        </w:rPr>
        <w:t>关于</w:t>
      </w:r>
      <w:r>
        <w:rPr>
          <w:rStyle w:val="10"/>
          <w:rFonts w:ascii="仿宋_GB2312" w:hAnsi="仿宋" w:eastAsia="仿宋_GB2312"/>
          <w:b w:val="0"/>
          <w:i w:val="0"/>
          <w:caps w:val="0"/>
          <w:spacing w:val="0"/>
          <w:w w:val="100"/>
          <w:kern w:val="2"/>
          <w:sz w:val="32"/>
          <w:szCs w:val="32"/>
          <w:lang w:val="en-US" w:eastAsia="zh-CN" w:bidi="ar-SA"/>
        </w:rPr>
        <w:t>《</w:t>
      </w:r>
      <w:r>
        <w:rPr>
          <w:rStyle w:val="10"/>
          <w:rFonts w:hint="eastAsia" w:ascii="仿宋_GB2312" w:hAnsi="仿宋" w:eastAsia="仿宋_GB2312"/>
          <w:b w:val="0"/>
          <w:i w:val="0"/>
          <w:caps w:val="0"/>
          <w:spacing w:val="0"/>
          <w:w w:val="100"/>
          <w:kern w:val="2"/>
          <w:sz w:val="32"/>
          <w:szCs w:val="32"/>
          <w:lang w:val="en-US" w:eastAsia="zh-CN" w:bidi="ar-SA"/>
        </w:rPr>
        <w:t>灵丘县京力瑞基混凝土有限公司扩建商砼生产线项目</w:t>
      </w:r>
      <w:r>
        <w:rPr>
          <w:rStyle w:val="10"/>
          <w:rFonts w:ascii="仿宋_GB2312" w:hAnsi="仿宋" w:eastAsia="仿宋_GB2312"/>
          <w:b w:val="0"/>
          <w:i w:val="0"/>
          <w:caps w:val="0"/>
          <w:spacing w:val="0"/>
          <w:w w:val="100"/>
          <w:kern w:val="2"/>
          <w:sz w:val="32"/>
          <w:szCs w:val="32"/>
          <w:lang w:val="en-US" w:eastAsia="zh-CN" w:bidi="ar-SA"/>
        </w:rPr>
        <w:t>环境影响报告表》（以下简称《报</w:t>
      </w:r>
      <w:r>
        <w:rPr>
          <w:rStyle w:val="10"/>
          <w:rFonts w:ascii="仿宋_GB2312" w:hAnsi="仿宋" w:eastAsia="仿宋_GB2312"/>
          <w:b w:val="0"/>
          <w:i w:val="0"/>
          <w:caps w:val="0"/>
          <w:spacing w:val="-6"/>
          <w:w w:val="100"/>
          <w:kern w:val="2"/>
          <w:sz w:val="32"/>
          <w:szCs w:val="32"/>
          <w:lang w:val="en-US" w:eastAsia="zh-CN" w:bidi="ar-SA"/>
        </w:rPr>
        <w:t>告表》）相关材料收悉。</w:t>
      </w:r>
      <w:r>
        <w:rPr>
          <w:rStyle w:val="10"/>
          <w:rFonts w:hint="eastAsia" w:ascii="仿宋_GB2312" w:hAnsi="仿宋" w:eastAsia="仿宋_GB2312"/>
          <w:b w:val="0"/>
          <w:i w:val="0"/>
          <w:caps w:val="0"/>
          <w:spacing w:val="-6"/>
          <w:w w:val="100"/>
          <w:kern w:val="2"/>
          <w:sz w:val="32"/>
          <w:szCs w:val="32"/>
          <w:lang w:val="en-US" w:eastAsia="zh-CN" w:bidi="ar-SA"/>
        </w:rPr>
        <w:t>结合大同市生态环境评估中心出具的《关于&lt;</w:t>
      </w:r>
      <w:r>
        <w:rPr>
          <w:rStyle w:val="10"/>
          <w:rFonts w:hint="eastAsia" w:ascii="仿宋_GB2312" w:hAnsi="仿宋" w:eastAsia="仿宋_GB2312"/>
          <w:b w:val="0"/>
          <w:i w:val="0"/>
          <w:caps w:val="0"/>
          <w:spacing w:val="0"/>
          <w:w w:val="100"/>
          <w:kern w:val="2"/>
          <w:sz w:val="32"/>
          <w:szCs w:val="32"/>
          <w:lang w:val="en-US" w:eastAsia="zh-CN" w:bidi="ar-SA"/>
        </w:rPr>
        <w:t>灵丘县京力瑞基混凝土有限公司扩建商砼生产线项目</w:t>
      </w:r>
      <w:r>
        <w:rPr>
          <w:rStyle w:val="10"/>
          <w:rFonts w:hint="eastAsia" w:ascii="仿宋_GB2312" w:hAnsi="仿宋" w:eastAsia="仿宋_GB2312"/>
          <w:b w:val="0"/>
          <w:i w:val="0"/>
          <w:caps w:val="0"/>
          <w:spacing w:val="-6"/>
          <w:w w:val="100"/>
          <w:kern w:val="2"/>
          <w:sz w:val="32"/>
          <w:szCs w:val="32"/>
          <w:lang w:val="en-US" w:eastAsia="zh-CN" w:bidi="ar-SA"/>
        </w:rPr>
        <w:t>环境影响报告表&gt;的技术评估报告》，</w:t>
      </w:r>
      <w:r>
        <w:rPr>
          <w:rStyle w:val="10"/>
          <w:rFonts w:ascii="仿宋_GB2312" w:hAnsi="仿宋_GB2312" w:eastAsia="仿宋_GB2312"/>
          <w:b w:val="0"/>
          <w:i w:val="0"/>
          <w:caps w:val="0"/>
          <w:spacing w:val="-6"/>
          <w:w w:val="100"/>
          <w:kern w:val="2"/>
          <w:sz w:val="32"/>
          <w:szCs w:val="32"/>
          <w:lang w:val="en-US" w:eastAsia="zh-CN" w:bidi="ar-SA"/>
        </w:rPr>
        <w:t>经研究，批复如下：</w:t>
      </w:r>
    </w:p>
    <w:p w14:paraId="1620084E">
      <w:pPr>
        <w:pStyle w:val="11"/>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baseline"/>
        <w:rPr>
          <w:rStyle w:val="10"/>
          <w:rFonts w:ascii="仿宋_GB2312" w:hAnsi="仿宋_GB2312" w:eastAsia="仿宋_GB2312"/>
          <w:b w:val="0"/>
          <w:i w:val="0"/>
          <w:caps w:val="0"/>
          <w:color w:val="000000"/>
          <w:spacing w:val="0"/>
          <w:w w:val="100"/>
          <w:sz w:val="32"/>
          <w:szCs w:val="32"/>
          <w:lang w:val="en-US" w:eastAsia="zh-CN" w:bidi="ar-SA"/>
        </w:rPr>
      </w:pPr>
      <w:r>
        <w:rPr>
          <w:rStyle w:val="10"/>
          <w:rFonts w:ascii="仿宋_GB2312" w:hAnsi="仿宋" w:eastAsia="仿宋_GB2312"/>
          <w:b w:val="0"/>
          <w:i w:val="0"/>
          <w:caps w:val="0"/>
          <w:color w:val="000000"/>
          <w:spacing w:val="0"/>
          <w:w w:val="100"/>
          <w:sz w:val="32"/>
          <w:szCs w:val="32"/>
          <w:lang w:val="en-US" w:eastAsia="zh-CN" w:bidi="ar-SA"/>
        </w:rPr>
        <w:t>一、该项目</w:t>
      </w:r>
      <w:r>
        <w:rPr>
          <w:rStyle w:val="10"/>
          <w:rFonts w:hint="eastAsia" w:ascii="仿宋_GB2312" w:hAnsi="仿宋" w:eastAsia="仿宋_GB2312"/>
          <w:b w:val="0"/>
          <w:i w:val="0"/>
          <w:caps w:val="0"/>
          <w:color w:val="000000"/>
          <w:spacing w:val="0"/>
          <w:w w:val="100"/>
          <w:sz w:val="32"/>
          <w:szCs w:val="32"/>
          <w:lang w:val="en-US" w:eastAsia="zh-CN" w:bidi="ar-SA"/>
        </w:rPr>
        <w:t>位于山西省大同市灵丘县落水河乡落水河村西1公里处</w:t>
      </w:r>
      <w:r>
        <w:rPr>
          <w:rStyle w:val="10"/>
          <w:rFonts w:hint="eastAsia" w:ascii="仿宋_GB2312" w:hAnsi="仿宋" w:eastAsia="仿宋_GB2312"/>
          <w:b w:val="0"/>
          <w:i w:val="0"/>
          <w:caps w:val="0"/>
          <w:color w:val="auto"/>
          <w:spacing w:val="0"/>
          <w:w w:val="100"/>
          <w:sz w:val="32"/>
          <w:szCs w:val="32"/>
          <w:lang w:val="en-US" w:eastAsia="zh-CN" w:bidi="ar-SA"/>
        </w:rPr>
        <w:t>。在</w:t>
      </w:r>
      <w:r>
        <w:rPr>
          <w:rStyle w:val="10"/>
          <w:rFonts w:hint="eastAsia" w:ascii="仿宋_GB2312" w:hAnsi="仿宋" w:eastAsia="仿宋_GB2312" w:cs="Times New Roman"/>
          <w:b w:val="0"/>
          <w:i w:val="0"/>
          <w:caps w:val="0"/>
          <w:spacing w:val="-6"/>
          <w:w w:val="100"/>
          <w:kern w:val="2"/>
          <w:sz w:val="32"/>
          <w:szCs w:val="32"/>
          <w:lang w:val="en-US" w:eastAsia="zh-CN" w:bidi="ar-SA"/>
        </w:rPr>
        <w:t>灵丘县京力瑞基混凝土有限公司现有厂区内，</w:t>
      </w:r>
      <w:r>
        <w:rPr>
          <w:rStyle w:val="10"/>
          <w:rFonts w:hint="default" w:ascii="仿宋_GB2312" w:hAnsi="仿宋" w:eastAsia="仿宋_GB2312" w:cs="Times New Roman"/>
          <w:b w:val="0"/>
          <w:i w:val="0"/>
          <w:caps w:val="0"/>
          <w:spacing w:val="-6"/>
          <w:w w:val="100"/>
          <w:kern w:val="2"/>
          <w:sz w:val="32"/>
          <w:szCs w:val="32"/>
          <w:lang w:val="en-US" w:eastAsia="zh-CN" w:bidi="ar-SA"/>
        </w:rPr>
        <w:t>用地面积</w:t>
      </w:r>
      <w:r>
        <w:rPr>
          <w:rStyle w:val="10"/>
          <w:rFonts w:hint="eastAsia" w:ascii="仿宋_GB2312" w:hAnsi="仿宋" w:eastAsia="仿宋_GB2312"/>
          <w:b w:val="0"/>
          <w:i w:val="0"/>
          <w:caps w:val="0"/>
          <w:color w:val="auto"/>
          <w:spacing w:val="0"/>
          <w:w w:val="100"/>
          <w:sz w:val="32"/>
          <w:szCs w:val="32"/>
          <w:lang w:val="en-US" w:eastAsia="zh-CN" w:bidi="ar-SA"/>
        </w:rPr>
        <w:t>22219.98</w:t>
      </w:r>
      <w:r>
        <w:rPr>
          <w:rStyle w:val="10"/>
          <w:rFonts w:hint="default" w:ascii="仿宋_GB2312" w:hAnsi="仿宋" w:eastAsia="仿宋_GB2312" w:cs="Times New Roman"/>
          <w:b w:val="0"/>
          <w:i w:val="0"/>
          <w:caps w:val="0"/>
          <w:spacing w:val="-6"/>
          <w:w w:val="100"/>
          <w:kern w:val="2"/>
          <w:sz w:val="32"/>
          <w:szCs w:val="32"/>
          <w:lang w:val="en-US" w:eastAsia="zh-CN" w:bidi="ar-SA"/>
        </w:rPr>
        <w:t>m</w:t>
      </w:r>
      <w:r>
        <w:rPr>
          <w:rStyle w:val="10"/>
          <w:rFonts w:hint="default" w:ascii="仿宋_GB2312" w:hAnsi="仿宋" w:eastAsia="仿宋_GB2312" w:cs="Times New Roman"/>
          <w:b w:val="0"/>
          <w:i w:val="0"/>
          <w:caps w:val="0"/>
          <w:spacing w:val="-6"/>
          <w:w w:val="100"/>
          <w:kern w:val="2"/>
          <w:sz w:val="32"/>
          <w:szCs w:val="32"/>
          <w:vertAlign w:val="superscript"/>
          <w:lang w:val="en-US" w:eastAsia="zh-CN" w:bidi="ar-SA"/>
        </w:rPr>
        <w:t>2</w:t>
      </w:r>
      <w:r>
        <w:rPr>
          <w:rStyle w:val="10"/>
          <w:rFonts w:hint="eastAsia" w:ascii="仿宋_GB2312" w:hAnsi="仿宋" w:eastAsia="仿宋_GB2312" w:cs="Times New Roman"/>
          <w:b w:val="0"/>
          <w:i w:val="0"/>
          <w:caps w:val="0"/>
          <w:spacing w:val="-6"/>
          <w:w w:val="100"/>
          <w:kern w:val="2"/>
          <w:sz w:val="32"/>
          <w:szCs w:val="32"/>
          <w:lang w:val="en-US" w:eastAsia="zh-CN" w:bidi="ar-SA"/>
        </w:rPr>
        <w:t>，不新增占地。新建操作间2间共50平方米，进行场地硬化200平方米，购置安装混凝土搅拌机组、平皮带机、斜皮带机等机械设备，预计年新增混凝土产能20万立方米。</w:t>
      </w:r>
      <w:r>
        <w:rPr>
          <w:rStyle w:val="10"/>
          <w:rFonts w:ascii="仿宋_GB2312" w:hAnsi="仿宋" w:eastAsia="仿宋_GB2312"/>
          <w:b w:val="0"/>
          <w:i w:val="0"/>
          <w:caps w:val="0"/>
          <w:color w:val="auto"/>
          <w:spacing w:val="0"/>
          <w:w w:val="100"/>
          <w:sz w:val="32"/>
          <w:szCs w:val="32"/>
          <w:lang w:val="en-US" w:eastAsia="zh-CN" w:bidi="ar-SA"/>
        </w:rPr>
        <w:t>项目总投资</w:t>
      </w:r>
      <w:r>
        <w:rPr>
          <w:rStyle w:val="10"/>
          <w:rFonts w:hint="eastAsia" w:ascii="仿宋_GB2312" w:hAnsi="仿宋" w:eastAsia="仿宋_GB2312"/>
          <w:b w:val="0"/>
          <w:i w:val="0"/>
          <w:caps w:val="0"/>
          <w:color w:val="auto"/>
          <w:spacing w:val="0"/>
          <w:w w:val="100"/>
          <w:sz w:val="32"/>
          <w:szCs w:val="32"/>
          <w:lang w:val="en-US" w:eastAsia="zh-CN" w:bidi="ar-SA"/>
        </w:rPr>
        <w:t>60</w:t>
      </w:r>
      <w:r>
        <w:rPr>
          <w:rStyle w:val="10"/>
          <w:rFonts w:ascii="仿宋_GB2312" w:hAnsi="仿宋" w:eastAsia="仿宋_GB2312"/>
          <w:b w:val="0"/>
          <w:i w:val="0"/>
          <w:caps w:val="0"/>
          <w:color w:val="auto"/>
          <w:spacing w:val="0"/>
          <w:w w:val="100"/>
          <w:sz w:val="32"/>
          <w:szCs w:val="32"/>
          <w:lang w:val="en-US" w:eastAsia="zh-CN" w:bidi="ar-SA"/>
        </w:rPr>
        <w:t>万元，环保投资</w:t>
      </w:r>
      <w:r>
        <w:rPr>
          <w:rStyle w:val="10"/>
          <w:rFonts w:hint="eastAsia" w:ascii="仿宋_GB2312" w:hAnsi="仿宋" w:eastAsia="仿宋_GB2312"/>
          <w:b w:val="0"/>
          <w:i w:val="0"/>
          <w:caps w:val="0"/>
          <w:color w:val="auto"/>
          <w:spacing w:val="0"/>
          <w:w w:val="100"/>
          <w:sz w:val="32"/>
          <w:szCs w:val="32"/>
          <w:lang w:val="en-US" w:eastAsia="zh-CN" w:bidi="ar-SA"/>
        </w:rPr>
        <w:t>12.5</w:t>
      </w:r>
      <w:r>
        <w:rPr>
          <w:rStyle w:val="10"/>
          <w:rFonts w:ascii="仿宋_GB2312" w:hAnsi="仿宋" w:eastAsia="仿宋_GB2312"/>
          <w:b w:val="0"/>
          <w:i w:val="0"/>
          <w:caps w:val="0"/>
          <w:color w:val="auto"/>
          <w:spacing w:val="0"/>
          <w:w w:val="100"/>
          <w:sz w:val="32"/>
          <w:szCs w:val="32"/>
          <w:lang w:val="en-US" w:eastAsia="zh-CN" w:bidi="ar-SA"/>
        </w:rPr>
        <w:t>万元，占总投资比例的</w:t>
      </w:r>
      <w:r>
        <w:rPr>
          <w:rStyle w:val="10"/>
          <w:rFonts w:hint="eastAsia" w:ascii="仿宋_GB2312" w:hAnsi="仿宋" w:eastAsia="仿宋_GB2312"/>
          <w:b w:val="0"/>
          <w:i w:val="0"/>
          <w:caps w:val="0"/>
          <w:color w:val="auto"/>
          <w:spacing w:val="0"/>
          <w:w w:val="100"/>
          <w:sz w:val="32"/>
          <w:szCs w:val="32"/>
          <w:lang w:val="en-US" w:eastAsia="zh-CN" w:bidi="ar-SA"/>
        </w:rPr>
        <w:t>20.83%</w:t>
      </w:r>
      <w:r>
        <w:rPr>
          <w:rStyle w:val="10"/>
          <w:rFonts w:ascii="仿宋_GB2312" w:hAnsi="仿宋" w:eastAsia="仿宋_GB2312"/>
          <w:b w:val="0"/>
          <w:i w:val="0"/>
          <w:caps w:val="0"/>
          <w:color w:val="auto"/>
          <w:spacing w:val="0"/>
          <w:w w:val="100"/>
          <w:sz w:val="32"/>
          <w:szCs w:val="32"/>
          <w:lang w:val="en-US" w:eastAsia="zh-CN" w:bidi="ar-SA"/>
        </w:rPr>
        <w:t>。</w:t>
      </w:r>
      <w:r>
        <w:rPr>
          <w:rStyle w:val="10"/>
          <w:rFonts w:hint="eastAsia" w:ascii="仿宋_GB2312" w:hAnsi="仿宋" w:eastAsia="仿宋_GB2312"/>
          <w:b w:val="0"/>
          <w:i w:val="0"/>
          <w:caps w:val="0"/>
          <w:color w:val="000000"/>
          <w:spacing w:val="0"/>
          <w:w w:val="100"/>
          <w:sz w:val="32"/>
          <w:szCs w:val="32"/>
          <w:lang w:val="en-US" w:eastAsia="zh-CN" w:bidi="ar-SA"/>
        </w:rPr>
        <w:t>根据国家发展和改革委员会发布实施的《产业结构调整指导目录（2024年本）》，该项目属于允许类，且项目已取得灵丘县发展改革和科技局下发的备案证，项目代码为“2501-140224-89-01-141674”。</w:t>
      </w:r>
      <w:r>
        <w:rPr>
          <w:rStyle w:val="10"/>
          <w:rFonts w:ascii="仿宋_GB2312" w:hAnsi="仿宋" w:eastAsia="仿宋_GB2312"/>
          <w:b w:val="0"/>
          <w:i w:val="0"/>
          <w:caps w:val="0"/>
          <w:color w:val="000000"/>
          <w:spacing w:val="0"/>
          <w:w w:val="100"/>
          <w:sz w:val="32"/>
          <w:szCs w:val="32"/>
          <w:lang w:val="en-US" w:eastAsia="zh-CN" w:bidi="ar-SA"/>
        </w:rPr>
        <w:t>在全面落实《报告表》提出的污染防治和生态保护措施的前提下，工程建设对环境的不利影响可得到缓解和控制。我</w:t>
      </w:r>
      <w:r>
        <w:rPr>
          <w:rStyle w:val="10"/>
          <w:rFonts w:hint="eastAsia" w:ascii="仿宋_GB2312" w:hAnsi="仿宋" w:eastAsia="仿宋_GB2312"/>
          <w:b w:val="0"/>
          <w:i w:val="0"/>
          <w:caps w:val="0"/>
          <w:color w:val="000000"/>
          <w:spacing w:val="0"/>
          <w:w w:val="100"/>
          <w:sz w:val="32"/>
          <w:szCs w:val="32"/>
          <w:lang w:val="en-US" w:eastAsia="zh-CN" w:bidi="ar-SA"/>
        </w:rPr>
        <w:t>分</w:t>
      </w:r>
      <w:r>
        <w:rPr>
          <w:rStyle w:val="10"/>
          <w:rFonts w:ascii="仿宋_GB2312" w:hAnsi="仿宋" w:eastAsia="仿宋_GB2312"/>
          <w:b w:val="0"/>
          <w:i w:val="0"/>
          <w:caps w:val="0"/>
          <w:color w:val="000000"/>
          <w:spacing w:val="0"/>
          <w:w w:val="100"/>
          <w:sz w:val="32"/>
          <w:szCs w:val="32"/>
          <w:lang w:val="en-US" w:eastAsia="zh-CN" w:bidi="ar-SA"/>
        </w:rPr>
        <w:t>局原则同意《报告表》所列建设</w:t>
      </w:r>
      <w:bookmarkEnd w:id="0"/>
      <w:r>
        <w:rPr>
          <w:rStyle w:val="10"/>
          <w:rFonts w:ascii="仿宋_GB2312" w:hAnsi="仿宋" w:eastAsia="仿宋_GB2312"/>
          <w:b w:val="0"/>
          <w:i w:val="0"/>
          <w:caps w:val="0"/>
          <w:color w:val="000000"/>
          <w:spacing w:val="0"/>
          <w:w w:val="100"/>
          <w:sz w:val="32"/>
          <w:szCs w:val="32"/>
          <w:lang w:val="en-US" w:eastAsia="zh-CN" w:bidi="ar-SA"/>
        </w:rPr>
        <w:t>项目的性质、规模、地点、采用的生产工艺和采取的环境保护措施。</w:t>
      </w:r>
    </w:p>
    <w:p w14:paraId="361064E8">
      <w:pPr>
        <w:pStyle w:val="11"/>
        <w:keepNext w:val="0"/>
        <w:keepLines w:val="0"/>
        <w:pageBreakBefore w:val="0"/>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二、</w:t>
      </w:r>
      <w:r>
        <w:rPr>
          <w:rStyle w:val="10"/>
          <w:rFonts w:ascii="仿宋_GB2312" w:hAnsi="仿宋_GB2312" w:eastAsia="仿宋_GB2312"/>
          <w:b w:val="0"/>
          <w:i w:val="0"/>
          <w:caps w:val="0"/>
          <w:color w:val="000000"/>
          <w:spacing w:val="0"/>
          <w:w w:val="100"/>
          <w:kern w:val="2"/>
          <w:sz w:val="32"/>
          <w:szCs w:val="32"/>
          <w:lang w:val="en-US" w:eastAsia="zh-CN" w:bidi="ar-SA"/>
        </w:rPr>
        <w:t>在项目建设和运行管理中，必须对照《报告表》逐一落实各项环保对策措施，重点做好以下工作：</w:t>
      </w:r>
    </w:p>
    <w:p w14:paraId="027D3B00">
      <w:pPr>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1、认真做好施工期环境保护工作，</w:t>
      </w:r>
      <w:r>
        <w:rPr>
          <w:rStyle w:val="10"/>
          <w:rFonts w:hint="eastAsia" w:ascii="仿宋_GB2312" w:hAnsi="仿宋_GB2312" w:eastAsia="仿宋_GB2312"/>
          <w:b w:val="0"/>
          <w:i w:val="0"/>
          <w:caps w:val="0"/>
          <w:color w:val="000000"/>
          <w:spacing w:val="0"/>
          <w:w w:val="100"/>
          <w:kern w:val="2"/>
          <w:sz w:val="32"/>
          <w:szCs w:val="32"/>
          <w:lang w:val="en-US" w:eastAsia="zh-CN" w:bidi="ar-SA"/>
        </w:rPr>
        <w:t>施工过程严格落实“六个百分之百”，</w:t>
      </w:r>
      <w:r>
        <w:rPr>
          <w:rStyle w:val="10"/>
          <w:rFonts w:ascii="仿宋_GB2312" w:hAnsi="仿宋_GB2312" w:eastAsia="仿宋_GB2312"/>
          <w:b w:val="0"/>
          <w:i w:val="0"/>
          <w:caps w:val="0"/>
          <w:color w:val="000000"/>
          <w:spacing w:val="0"/>
          <w:w w:val="100"/>
          <w:kern w:val="2"/>
          <w:sz w:val="32"/>
          <w:szCs w:val="32"/>
          <w:lang w:val="en-US" w:eastAsia="zh-CN" w:bidi="ar-SA"/>
        </w:rPr>
        <w:t>加强</w:t>
      </w:r>
      <w:r>
        <w:rPr>
          <w:rStyle w:val="10"/>
          <w:rFonts w:hint="eastAsia" w:ascii="仿宋_GB2312" w:hAnsi="仿宋_GB2312" w:eastAsia="仿宋_GB2312"/>
          <w:b w:val="0"/>
          <w:i w:val="0"/>
          <w:caps w:val="0"/>
          <w:color w:val="000000"/>
          <w:spacing w:val="0"/>
          <w:w w:val="100"/>
          <w:kern w:val="2"/>
          <w:sz w:val="32"/>
          <w:szCs w:val="32"/>
          <w:lang w:val="en-US" w:eastAsia="zh-CN" w:bidi="ar-SA"/>
        </w:rPr>
        <w:t>废水、噪声、固体废物</w:t>
      </w:r>
      <w:r>
        <w:rPr>
          <w:rStyle w:val="10"/>
          <w:rFonts w:ascii="仿宋_GB2312" w:hAnsi="仿宋_GB2312" w:eastAsia="仿宋_GB2312"/>
          <w:b w:val="0"/>
          <w:i w:val="0"/>
          <w:caps w:val="0"/>
          <w:color w:val="000000"/>
          <w:spacing w:val="0"/>
          <w:w w:val="100"/>
          <w:kern w:val="2"/>
          <w:sz w:val="32"/>
          <w:szCs w:val="32"/>
          <w:lang w:val="en-US" w:eastAsia="zh-CN" w:bidi="ar-SA"/>
        </w:rPr>
        <w:t>环境管理，落实《报</w:t>
      </w:r>
      <w:r>
        <w:rPr>
          <w:rStyle w:val="10"/>
          <w:rFonts w:ascii="仿宋_GB2312" w:hAnsi="仿宋_GB2312" w:eastAsia="仿宋_GB2312"/>
          <w:b w:val="0"/>
          <w:i w:val="0"/>
          <w:caps w:val="0"/>
          <w:color w:val="000000"/>
          <w:spacing w:val="-6"/>
          <w:w w:val="100"/>
          <w:kern w:val="2"/>
          <w:sz w:val="32"/>
          <w:szCs w:val="32"/>
          <w:lang w:val="en-US" w:eastAsia="zh-CN" w:bidi="ar-SA"/>
        </w:rPr>
        <w:t>告表》提出的各项污染防治及生态保护措施，降低对周边的影响。</w:t>
      </w:r>
    </w:p>
    <w:p w14:paraId="623CA46E">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textAlignment w:val="baseline"/>
        <w:rPr>
          <w:rStyle w:val="10"/>
          <w:rFonts w:ascii="仿宋_GB2312" w:hAnsi="仿宋_GB2312" w:eastAsia="仿宋_GB2312"/>
          <w:b w:val="0"/>
          <w:i w:val="0"/>
          <w:caps w:val="0"/>
          <w:color w:val="0000FF"/>
          <w:spacing w:val="-6"/>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2、废气污染防治措施。运营期</w:t>
      </w:r>
      <w:r>
        <w:rPr>
          <w:rStyle w:val="10"/>
          <w:rFonts w:hint="eastAsia" w:ascii="仿宋_GB2312" w:hAnsi="仿宋_GB2312" w:eastAsia="仿宋_GB2312"/>
          <w:b w:val="0"/>
          <w:i w:val="0"/>
          <w:caps w:val="0"/>
          <w:color w:val="000000"/>
          <w:spacing w:val="0"/>
          <w:w w:val="100"/>
          <w:kern w:val="2"/>
          <w:sz w:val="32"/>
          <w:szCs w:val="32"/>
          <w:lang w:val="en-US" w:eastAsia="zh-CN" w:bidi="ar-SA"/>
        </w:rPr>
        <w:t>，2个水泥筒仓粉尘合并引入1台脉冲式布袋除尘器、粉煤灰筒仓与矿粉筒仓粉尘合并引入1台脉冲式布袋除尘器，除尘后分别通过1根23m高排气筒排放。将现有上料斗进行改造，同本项目上料一侧均采用软帘遮挡，安装集尘罩将原有上料粉尘合并收集后经1台布袋除尘器除尘，尾气通过15m高排气筒排放。混凝土搅拌废气、现有工程改造排放口的搅拌废气经各自布袋除尘器除尘后通过15m高排气筒排放。</w:t>
      </w:r>
      <w:r>
        <w:rPr>
          <w:rStyle w:val="10"/>
          <w:rFonts w:hint="eastAsia" w:ascii="仿宋_GB2312" w:hAnsi="仿宋_GB2312" w:eastAsia="仿宋_GB2312"/>
          <w:b w:val="0"/>
          <w:i w:val="0"/>
          <w:caps w:val="0"/>
          <w:color w:val="000000"/>
          <w:spacing w:val="-6"/>
          <w:w w:val="100"/>
          <w:kern w:val="2"/>
          <w:sz w:val="32"/>
          <w:szCs w:val="32"/>
          <w:lang w:val="en-US" w:eastAsia="zh-CN" w:bidi="ar-SA"/>
        </w:rPr>
        <w:t>营运期有组织粉尘执行《水泥工业大气污染物排放标准》（DB14/3176-2024）中表1标准限值，厂区内颗粒物无组织排放执行《水泥工业大气污染物排放标准》（DB14/3176-2024）中表2标准限值。</w:t>
      </w:r>
    </w:p>
    <w:p w14:paraId="70D58701">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3、废水污染防治措施。</w:t>
      </w:r>
      <w:r>
        <w:rPr>
          <w:rStyle w:val="10"/>
          <w:rFonts w:hint="eastAsia" w:ascii="仿宋_GB2312" w:hAnsi="仿宋_GB2312" w:eastAsia="仿宋_GB2312"/>
          <w:b w:val="0"/>
          <w:i w:val="0"/>
          <w:caps w:val="0"/>
          <w:color w:val="000000"/>
          <w:spacing w:val="0"/>
          <w:w w:val="100"/>
          <w:kern w:val="2"/>
          <w:sz w:val="32"/>
          <w:szCs w:val="32"/>
          <w:lang w:val="en-US" w:eastAsia="zh-CN" w:bidi="ar-SA"/>
        </w:rPr>
        <w:t>运营期搅拌机清洗废水、罐车清洗废水、混凝土搅拌作业区地面清洗废水通过暗沟排入砂石分离机，经砂石分离后，浆水通过管道进入沉淀池，沉淀后清水全部回用于生产；设1座30m</w:t>
      </w:r>
      <w:r>
        <w:rPr>
          <w:rStyle w:val="10"/>
          <w:rFonts w:hint="eastAsia" w:ascii="仿宋_GB2312" w:hAnsi="仿宋_GB2312" w:eastAsia="仿宋_GB2312"/>
          <w:b w:val="0"/>
          <w:i w:val="0"/>
          <w:caps w:val="0"/>
          <w:color w:val="000000"/>
          <w:spacing w:val="0"/>
          <w:w w:val="100"/>
          <w:kern w:val="2"/>
          <w:sz w:val="32"/>
          <w:szCs w:val="32"/>
          <w:vertAlign w:val="superscript"/>
          <w:lang w:val="en-US" w:eastAsia="zh-CN" w:bidi="ar-SA"/>
        </w:rPr>
        <w:t>3</w:t>
      </w:r>
      <w:r>
        <w:rPr>
          <w:rStyle w:val="10"/>
          <w:rFonts w:hint="eastAsia" w:ascii="仿宋_GB2312" w:hAnsi="仿宋_GB2312" w:eastAsia="仿宋_GB2312"/>
          <w:b w:val="0"/>
          <w:i w:val="0"/>
          <w:caps w:val="0"/>
          <w:color w:val="000000"/>
          <w:spacing w:val="0"/>
          <w:w w:val="100"/>
          <w:kern w:val="2"/>
          <w:sz w:val="32"/>
          <w:szCs w:val="32"/>
          <w:lang w:val="en-US" w:eastAsia="zh-CN" w:bidi="ar-SA"/>
        </w:rPr>
        <w:t>沉淀池，车辆冲洗废水经沉淀池沉淀后循环使用，不外排。</w:t>
      </w:r>
    </w:p>
    <w:p w14:paraId="56CBB2FF">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firstLine="640"/>
        <w:jc w:val="both"/>
        <w:textAlignment w:val="baseline"/>
        <w:rPr>
          <w:rStyle w:val="10"/>
          <w:rFonts w:ascii="仿宋_GB2312" w:hAnsi="仿宋_GB2312" w:eastAsia="仿宋_GB2312"/>
          <w:b w:val="0"/>
          <w:i w:val="0"/>
          <w:caps w:val="0"/>
          <w:color w:val="000000"/>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4、噪声污染防治措施。</w:t>
      </w:r>
      <w:r>
        <w:rPr>
          <w:rStyle w:val="10"/>
          <w:rFonts w:hint="eastAsia" w:ascii="仿宋_GB2312" w:hAnsi="仿宋_GB2312" w:eastAsia="仿宋_GB2312"/>
          <w:b w:val="0"/>
          <w:i w:val="0"/>
          <w:caps w:val="0"/>
          <w:color w:val="000000"/>
          <w:spacing w:val="0"/>
          <w:w w:val="100"/>
          <w:kern w:val="2"/>
          <w:sz w:val="32"/>
          <w:szCs w:val="32"/>
          <w:lang w:val="en-US" w:eastAsia="zh-CN" w:bidi="ar-SA"/>
        </w:rPr>
        <w:t>运营期要选用低噪声设备，隔声、基础减振，定期维护，加强管理。运营期厂界噪声排放执行《工业企业厂界环境噪声排放标准》（GB12348-2008）2类标准。</w:t>
      </w:r>
    </w:p>
    <w:p w14:paraId="4AD0028F">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firstLine="640"/>
        <w:jc w:val="both"/>
        <w:textAlignment w:val="baseline"/>
        <w:rPr>
          <w:rStyle w:val="10"/>
          <w:rFonts w:ascii="仿宋_GB2312" w:hAnsi="仿宋_GB2312" w:eastAsia="仿宋_GB2312"/>
          <w:b w:val="0"/>
          <w:i w:val="0"/>
          <w:caps w:val="0"/>
          <w:color w:val="auto"/>
          <w:spacing w:val="0"/>
          <w:w w:val="100"/>
          <w:kern w:val="2"/>
          <w:sz w:val="32"/>
          <w:szCs w:val="32"/>
          <w:lang w:val="en-US" w:eastAsia="zh-CN" w:bidi="ar-SA"/>
        </w:rPr>
      </w:pPr>
      <w:r>
        <w:rPr>
          <w:rStyle w:val="10"/>
          <w:rFonts w:ascii="仿宋_GB2312" w:hAnsi="仿宋_GB2312" w:eastAsia="仿宋_GB2312"/>
          <w:b w:val="0"/>
          <w:i w:val="0"/>
          <w:caps w:val="0"/>
          <w:color w:val="000000"/>
          <w:spacing w:val="0"/>
          <w:w w:val="100"/>
          <w:kern w:val="2"/>
          <w:sz w:val="32"/>
          <w:szCs w:val="32"/>
          <w:lang w:val="en-US" w:eastAsia="zh-CN" w:bidi="ar-SA"/>
        </w:rPr>
        <w:t>5、固体废物污染防治措施。运营期</w:t>
      </w:r>
      <w:r>
        <w:rPr>
          <w:rStyle w:val="10"/>
          <w:rFonts w:hint="eastAsia" w:ascii="仿宋_GB2312" w:hAnsi="仿宋_GB2312" w:eastAsia="仿宋_GB2312"/>
          <w:b w:val="0"/>
          <w:i w:val="0"/>
          <w:caps w:val="0"/>
          <w:color w:val="000000"/>
          <w:spacing w:val="0"/>
          <w:w w:val="100"/>
          <w:kern w:val="2"/>
          <w:sz w:val="32"/>
          <w:szCs w:val="32"/>
          <w:lang w:val="en-US" w:eastAsia="zh-CN" w:bidi="ar-SA"/>
        </w:rPr>
        <w:t>除尘灰、砂石分离机+沉淀池沉渣收集回用于生产。试验室的试块作为建筑材料外售建材公司。建设单位要在厂区西北侧新建1间10m</w:t>
      </w:r>
      <w:r>
        <w:rPr>
          <w:rStyle w:val="10"/>
          <w:rFonts w:hint="eastAsia" w:ascii="仿宋_GB2312" w:hAnsi="仿宋_GB2312" w:eastAsia="仿宋_GB2312"/>
          <w:b w:val="0"/>
          <w:i w:val="0"/>
          <w:caps w:val="0"/>
          <w:color w:val="000000"/>
          <w:spacing w:val="0"/>
          <w:w w:val="100"/>
          <w:kern w:val="2"/>
          <w:sz w:val="32"/>
          <w:szCs w:val="32"/>
          <w:vertAlign w:val="superscript"/>
          <w:lang w:val="en-US" w:eastAsia="zh-CN" w:bidi="ar-SA"/>
        </w:rPr>
        <w:t>2</w:t>
      </w:r>
      <w:r>
        <w:rPr>
          <w:rStyle w:val="10"/>
          <w:rFonts w:hint="eastAsia" w:ascii="仿宋_GB2312" w:hAnsi="仿宋_GB2312" w:eastAsia="仿宋_GB2312"/>
          <w:b w:val="0"/>
          <w:i w:val="0"/>
          <w:caps w:val="0"/>
          <w:color w:val="000000"/>
          <w:spacing w:val="0"/>
          <w:w w:val="100"/>
          <w:kern w:val="2"/>
          <w:sz w:val="32"/>
          <w:szCs w:val="32"/>
          <w:lang w:val="en-US" w:eastAsia="zh-CN" w:bidi="ar-SA"/>
        </w:rPr>
        <w:t>的危废贮存库，设备维修废机油、废机油桶暂存于危废贮存库，定期交由有资质单位处置。该</w:t>
      </w:r>
      <w:r>
        <w:rPr>
          <w:rStyle w:val="10"/>
          <w:rFonts w:hint="eastAsia" w:ascii="仿宋_GB2312" w:hAnsi="仿宋_GB2312" w:eastAsia="仿宋_GB2312"/>
          <w:b w:val="0"/>
          <w:i w:val="0"/>
          <w:caps w:val="0"/>
          <w:color w:val="auto"/>
          <w:spacing w:val="0"/>
          <w:w w:val="100"/>
          <w:kern w:val="2"/>
          <w:sz w:val="32"/>
          <w:szCs w:val="32"/>
          <w:lang w:val="en-US" w:eastAsia="zh-CN" w:bidi="ar-SA"/>
        </w:rPr>
        <w:t>项目不涉及一般工业固体废物贮存和填埋，厂区采用库房、包装工具（罐、桶、包装袋等）贮存一般工业固体废物过程的污染控制，其贮存过程应满足相应防渗漏、防雨淋、防扬尘等环境保护要求。危险废物执行《危险废物贮存污染控制标准》（GB18597-2023）中的有关规定。</w:t>
      </w:r>
    </w:p>
    <w:p w14:paraId="77AE5C3F">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rPr>
          <w:rStyle w:val="10"/>
          <w:rFonts w:hint="eastAsia" w:ascii="仿宋_GB2312" w:hAnsi="仿宋_GB2312" w:eastAsia="仿宋_GB2312"/>
          <w:b w:val="0"/>
          <w:i w:val="0"/>
          <w:caps w:val="0"/>
          <w:color w:val="auto"/>
          <w:spacing w:val="0"/>
          <w:w w:val="100"/>
          <w:kern w:val="2"/>
          <w:sz w:val="32"/>
          <w:szCs w:val="32"/>
          <w:lang w:val="en-US" w:eastAsia="zh-CN" w:bidi="ar-SA"/>
        </w:rPr>
      </w:pPr>
      <w:r>
        <w:rPr>
          <w:rStyle w:val="10"/>
          <w:rFonts w:ascii="仿宋_GB2312" w:hAnsi="仿宋_GB2312" w:eastAsia="仿宋_GB2312"/>
          <w:b w:val="0"/>
          <w:i w:val="0"/>
          <w:caps w:val="0"/>
          <w:color w:val="auto"/>
          <w:spacing w:val="0"/>
          <w:w w:val="100"/>
          <w:kern w:val="2"/>
          <w:sz w:val="32"/>
          <w:szCs w:val="32"/>
          <w:lang w:val="en-US" w:eastAsia="zh-CN" w:bidi="ar-SA"/>
        </w:rPr>
        <w:t>三、该项</w:t>
      </w:r>
      <w:r>
        <w:rPr>
          <w:rStyle w:val="10"/>
          <w:rFonts w:hint="eastAsia" w:ascii="仿宋_GB2312" w:hAnsi="仿宋_GB2312" w:eastAsia="仿宋_GB2312"/>
          <w:b w:val="0"/>
          <w:i w:val="0"/>
          <w:caps w:val="0"/>
          <w:color w:val="auto"/>
          <w:spacing w:val="0"/>
          <w:w w:val="100"/>
          <w:kern w:val="2"/>
          <w:sz w:val="32"/>
          <w:szCs w:val="32"/>
          <w:lang w:val="en-US" w:eastAsia="zh-CN" w:bidi="ar-SA"/>
        </w:rPr>
        <w:t>目污染物排放量为颗粒物2.0198t/a。</w:t>
      </w:r>
    </w:p>
    <w:p w14:paraId="7A739C95">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四、加强对工程的环境管理和环境风险预测，制定突发环境事故应急预案及环境保护管理相关制度，采取合理有效措施防范环境风险，预防突发环境事件的发生。</w:t>
      </w:r>
    </w:p>
    <w:p w14:paraId="7903D92B">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color w:val="292929"/>
          <w:spacing w:val="0"/>
          <w:w w:val="100"/>
          <w:kern w:val="0"/>
          <w:sz w:val="32"/>
          <w:szCs w:val="32"/>
          <w:lang w:val="en-US" w:eastAsia="zh-CN" w:bidi="ar-SA"/>
        </w:rPr>
        <w:t>五、</w:t>
      </w:r>
      <w:r>
        <w:rPr>
          <w:rStyle w:val="10"/>
          <w:rFonts w:ascii="仿宋_GB2312" w:hAnsi="仿宋_GB2312" w:eastAsia="仿宋_GB2312"/>
          <w:b w:val="0"/>
          <w:i w:val="0"/>
          <w:caps w:val="0"/>
          <w:spacing w:val="0"/>
          <w:w w:val="100"/>
          <w:kern w:val="2"/>
          <w:sz w:val="32"/>
          <w:szCs w:val="32"/>
          <w:lang w:val="en-US" w:eastAsia="zh-CN" w:bidi="ar-SA"/>
        </w:rPr>
        <w:t>项目建设要严格执行环保“三同时”制度。并按照《报告表》中提出的各项要求,积极落实各项污染防治措施。项目建成后须按规定进行环境保护竣工验收。环境保护措施未落实到位，不得正式投入运营；如项目的性质、规模、地点、采用的防治污染、防止生态破坏措施发生重大变动的，须报经我局重新审批。</w:t>
      </w:r>
    </w:p>
    <w:p w14:paraId="4CCD77AC">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六、大同市灵丘县生态环境保护综合行政执法队负责该项目建设期及运营期日常监督管理工作。</w:t>
      </w:r>
    </w:p>
    <w:p w14:paraId="03022921">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p>
    <w:p w14:paraId="0DBFE3B6">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both"/>
        <w:textAlignment w:val="baseline"/>
        <w:rPr>
          <w:rStyle w:val="10"/>
          <w:rFonts w:ascii="仿宋_GB2312" w:hAnsi="仿宋_GB2312" w:eastAsia="仿宋_GB2312"/>
          <w:b w:val="0"/>
          <w:i w:val="0"/>
          <w:caps w:val="0"/>
          <w:spacing w:val="0"/>
          <w:w w:val="100"/>
          <w:kern w:val="2"/>
          <w:sz w:val="32"/>
          <w:szCs w:val="32"/>
          <w:lang w:val="en-US" w:eastAsia="zh-CN" w:bidi="ar-SA"/>
        </w:rPr>
      </w:pPr>
    </w:p>
    <w:p w14:paraId="39ABD6A7">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firstLine="3840" w:firstLineChars="1200"/>
        <w:jc w:val="both"/>
        <w:textAlignment w:val="baseline"/>
        <w:rPr>
          <w:rStyle w:val="10"/>
          <w:rFonts w:ascii="仿宋_GB2312" w:hAnsi="仿宋_GB2312" w:eastAsia="仿宋_GB2312"/>
          <w:b w:val="0"/>
          <w:i w:val="0"/>
          <w:caps w:val="0"/>
          <w:spacing w:val="0"/>
          <w:w w:val="100"/>
          <w:kern w:val="2"/>
          <w:sz w:val="32"/>
          <w:szCs w:val="32"/>
          <w:lang w:val="en-US" w:eastAsia="zh-CN" w:bidi="ar-SA"/>
        </w:rPr>
      </w:pPr>
      <w:r>
        <w:rPr>
          <w:rStyle w:val="10"/>
          <w:rFonts w:ascii="仿宋_GB2312" w:hAnsi="仿宋_GB2312" w:eastAsia="仿宋_GB2312"/>
          <w:b w:val="0"/>
          <w:i w:val="0"/>
          <w:caps w:val="0"/>
          <w:spacing w:val="0"/>
          <w:w w:val="100"/>
          <w:kern w:val="2"/>
          <w:sz w:val="32"/>
          <w:szCs w:val="32"/>
          <w:lang w:val="en-US" w:eastAsia="zh-CN" w:bidi="ar-SA"/>
        </w:rPr>
        <w:t>大同市生态环境局灵丘分局</w:t>
      </w:r>
    </w:p>
    <w:p w14:paraId="31959975">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right="0" w:firstLine="4480" w:firstLineChars="1400"/>
        <w:jc w:val="both"/>
        <w:textAlignment w:val="baseline"/>
        <w:rPr>
          <w:rFonts w:hint="eastAsia" w:ascii="仿宋" w:hAnsi="仿宋" w:eastAsia="仿宋" w:cs="仿宋"/>
          <w:color w:val="auto"/>
          <w:spacing w:val="68"/>
          <w:sz w:val="32"/>
          <w:szCs w:val="32"/>
          <w:u w:val="single"/>
          <w:lang w:val="en-US" w:eastAsia="zh-CN"/>
        </w:rPr>
      </w:pPr>
      <w:r>
        <w:rPr>
          <w:rStyle w:val="10"/>
          <w:rFonts w:ascii="仿宋_GB2312" w:hAnsi="仿宋_GB2312" w:eastAsia="仿宋_GB2312"/>
          <w:b w:val="0"/>
          <w:i w:val="0"/>
          <w:caps w:val="0"/>
          <w:spacing w:val="0"/>
          <w:w w:val="100"/>
          <w:kern w:val="2"/>
          <w:sz w:val="32"/>
          <w:szCs w:val="32"/>
          <w:lang w:val="en-US" w:eastAsia="zh-CN" w:bidi="ar-SA"/>
        </w:rPr>
        <w:t>202</w:t>
      </w:r>
      <w:r>
        <w:rPr>
          <w:rStyle w:val="10"/>
          <w:rFonts w:hint="eastAsia" w:ascii="仿宋_GB2312" w:hAnsi="仿宋_GB2312" w:eastAsia="仿宋_GB2312"/>
          <w:b w:val="0"/>
          <w:i w:val="0"/>
          <w:caps w:val="0"/>
          <w:spacing w:val="0"/>
          <w:w w:val="100"/>
          <w:kern w:val="2"/>
          <w:sz w:val="32"/>
          <w:szCs w:val="32"/>
          <w:lang w:val="en-US" w:eastAsia="zh-CN" w:bidi="ar-SA"/>
        </w:rPr>
        <w:t>5</w:t>
      </w:r>
      <w:r>
        <w:rPr>
          <w:rStyle w:val="10"/>
          <w:rFonts w:ascii="仿宋_GB2312" w:hAnsi="仿宋_GB2312" w:eastAsia="仿宋_GB2312"/>
          <w:b w:val="0"/>
          <w:i w:val="0"/>
          <w:caps w:val="0"/>
          <w:spacing w:val="0"/>
          <w:w w:val="100"/>
          <w:kern w:val="2"/>
          <w:sz w:val="32"/>
          <w:szCs w:val="32"/>
          <w:lang w:val="en-US" w:eastAsia="zh-CN" w:bidi="ar-SA"/>
        </w:rPr>
        <w:t>年</w:t>
      </w:r>
      <w:r>
        <w:rPr>
          <w:rStyle w:val="10"/>
          <w:rFonts w:hint="eastAsia" w:ascii="仿宋_GB2312" w:hAnsi="仿宋_GB2312" w:eastAsia="仿宋_GB2312"/>
          <w:b w:val="0"/>
          <w:i w:val="0"/>
          <w:caps w:val="0"/>
          <w:spacing w:val="0"/>
          <w:w w:val="100"/>
          <w:kern w:val="2"/>
          <w:sz w:val="32"/>
          <w:szCs w:val="32"/>
          <w:lang w:val="en-US" w:eastAsia="zh-CN" w:bidi="ar-SA"/>
        </w:rPr>
        <w:t>7</w:t>
      </w:r>
      <w:r>
        <w:rPr>
          <w:rStyle w:val="10"/>
          <w:rFonts w:ascii="仿宋_GB2312" w:hAnsi="仿宋_GB2312" w:eastAsia="仿宋_GB2312"/>
          <w:b w:val="0"/>
          <w:i w:val="0"/>
          <w:caps w:val="0"/>
          <w:spacing w:val="0"/>
          <w:w w:val="100"/>
          <w:kern w:val="2"/>
          <w:sz w:val="32"/>
          <w:szCs w:val="32"/>
          <w:lang w:val="en-US" w:eastAsia="zh-CN" w:bidi="ar-SA"/>
        </w:rPr>
        <w:t>月</w:t>
      </w:r>
      <w:r>
        <w:rPr>
          <w:rStyle w:val="10"/>
          <w:rFonts w:hint="eastAsia" w:ascii="仿宋_GB2312" w:hAnsi="仿宋_GB2312" w:eastAsia="仿宋_GB2312"/>
          <w:b w:val="0"/>
          <w:i w:val="0"/>
          <w:caps w:val="0"/>
          <w:spacing w:val="0"/>
          <w:w w:val="100"/>
          <w:kern w:val="2"/>
          <w:sz w:val="32"/>
          <w:szCs w:val="32"/>
          <w:lang w:val="en-US" w:eastAsia="zh-CN" w:bidi="ar-SA"/>
        </w:rPr>
        <w:t>10</w:t>
      </w:r>
      <w:r>
        <w:rPr>
          <w:rStyle w:val="10"/>
          <w:rFonts w:ascii="仿宋_GB2312" w:hAnsi="仿宋_GB2312" w:eastAsia="仿宋_GB2312"/>
          <w:b w:val="0"/>
          <w:i w:val="0"/>
          <w:caps w:val="0"/>
          <w:spacing w:val="0"/>
          <w:w w:val="100"/>
          <w:kern w:val="2"/>
          <w:sz w:val="32"/>
          <w:szCs w:val="32"/>
          <w:lang w:val="en-US" w:eastAsia="zh-CN" w:bidi="ar-SA"/>
        </w:rPr>
        <w:t>日</w:t>
      </w:r>
    </w:p>
    <w:sectPr>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jljZTYxNTUzNmM1NDNmMmQ3ZWM5YmI4ODgxMjIifQ=="/>
  </w:docVars>
  <w:rsids>
    <w:rsidRoot w:val="3B9F3D19"/>
    <w:rsid w:val="0BC63B74"/>
    <w:rsid w:val="0EEC057A"/>
    <w:rsid w:val="0F6A0E1E"/>
    <w:rsid w:val="10892C41"/>
    <w:rsid w:val="1E8A2A3D"/>
    <w:rsid w:val="1ED24E6B"/>
    <w:rsid w:val="1EDD7021"/>
    <w:rsid w:val="25462E46"/>
    <w:rsid w:val="2AB54E7F"/>
    <w:rsid w:val="3B9F3D19"/>
    <w:rsid w:val="3F9B5BB1"/>
    <w:rsid w:val="42074515"/>
    <w:rsid w:val="48D423BE"/>
    <w:rsid w:val="49D10ACC"/>
    <w:rsid w:val="4EC64BEA"/>
    <w:rsid w:val="4F0C50FB"/>
    <w:rsid w:val="5AD216C5"/>
    <w:rsid w:val="5BDD69CC"/>
    <w:rsid w:val="61DE04AF"/>
    <w:rsid w:val="689E2EA1"/>
    <w:rsid w:val="6A047FFE"/>
    <w:rsid w:val="71D12885"/>
    <w:rsid w:val="75E361C9"/>
    <w:rsid w:val="7F336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autoRedefine/>
    <w:qFormat/>
    <w:uiPriority w:val="0"/>
  </w:style>
  <w:style w:type="paragraph" w:customStyle="1" w:styleId="7">
    <w:name w:val="正文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
    <w:name w:val="NormalCharacter"/>
    <w:autoRedefine/>
    <w:qFormat/>
    <w:uiPriority w:val="0"/>
    <w:rPr>
      <w:kern w:val="2"/>
      <w:sz w:val="21"/>
      <w:lang w:val="en-US" w:eastAsia="zh-CN" w:bidi="ar-SA"/>
    </w:rPr>
  </w:style>
  <w:style w:type="paragraph" w:customStyle="1" w:styleId="11">
    <w:name w:val="UserStyle_7"/>
    <w:autoRedefine/>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12">
    <w:name w:val="UserStyle_20"/>
    <w:autoRedefine/>
    <w:qFormat/>
    <w:uiPriority w:val="0"/>
    <w:pPr>
      <w:textAlignment w:val="baseline"/>
    </w:pPr>
    <w:rPr>
      <w:rFonts w:ascii="宋体" w:hAnsi="Calibri" w:eastAsia="宋体" w:cs="Times New Roman"/>
      <w:color w:val="000000"/>
      <w:sz w:val="24"/>
      <w:szCs w:val="24"/>
      <w:lang w:val="en-US" w:eastAsia="zh-CN" w:bidi="ar-SA"/>
    </w:rPr>
  </w:style>
  <w:style w:type="paragraph" w:customStyle="1" w:styleId="13">
    <w:name w:val="UserStyle_17"/>
    <w:autoRedefine/>
    <w:qFormat/>
    <w:uiPriority w:val="0"/>
    <w:pPr>
      <w:jc w:val="both"/>
      <w:textAlignment w:val="baseline"/>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1683</Words>
  <Characters>1807</Characters>
  <Lines>0</Lines>
  <Paragraphs>0</Paragraphs>
  <TotalTime>4</TotalTime>
  <ScaleCrop>false</ScaleCrop>
  <LinksUpToDate>false</LinksUpToDate>
  <CharactersWithSpaces>1810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2020-05-25T09:58:00Z</dcterms:created>
  <dc:creator>丽纱</dc:creator>
  <cp:lastModifiedBy>丽纱</cp:lastModifiedBy>
  <dcterms:modified xsi:type="dcterms:W3CDTF">2025-07-10T03:26:48Z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37A6BBA76E41482195666D465E33CC4F</vt:lpwstr>
  </property>
  <property fmtid="{D5CDD505-2E9C-101B-9397-08002B2CF9AE}" pid="4" name="KSOTemplateDocerSaveRecord">
    <vt:lpwstr>eyJoZGlkIjoiZDlmMjljZTYxNTUzNmM1NDNmMmQ3ZWM5YmI4ODgxMjIiLCJ1c2VySWQiOiIzNTkwNDA3MTgifQ==</vt:lpwstr>
  </property>
</Properties>
</file>