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both"/>
        <w:rPr>
          <w:rFonts w:hint="eastAsia" w:ascii="仿宋" w:hAnsi="仿宋" w:eastAsia="仿宋"/>
          <w:b/>
          <w:bCs/>
          <w:sz w:val="28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                               </w:t>
      </w:r>
    </w:p>
    <w:p>
      <w:pPr>
        <w:wordWrap w:val="0"/>
        <w:jc w:val="right"/>
        <w:rPr>
          <w:rFonts w:hint="default" w:ascii="Times New Roman" w:hAnsi="Times New Roman" w:cs="Times New Roman"/>
          <w:color w:val="000000"/>
          <w:sz w:val="30"/>
          <w:szCs w:val="30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平城环函〔2024〕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大同市光荣院三期项目变更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的批复</w:t>
      </w:r>
    </w:p>
    <w:p>
      <w:pPr>
        <w:pStyle w:val="3"/>
        <w:spacing w:line="640" w:lineRule="exact"/>
        <w:rPr>
          <w:rFonts w:hint="default"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大同市荣福养老服务有限公司：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你公司报送的《关于&lt;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大同市光荣院三期项目变更环境影响报告表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（以下简称《报告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报批申请》及相关资料收悉。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结合大同市生态环境评估中心出具的《关于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大同市光荣院三期项目变更环境影响报告表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的技术评估报告》，经研究，批复如下：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一、2023年12月6日我分局对《大同市光荣院三期建设项目环境影响报告表》做出了批复。原批复中建设内容为护理楼设置住院床位65张，现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将之前环评批复的护理楼医学护理床（住院）增加到100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，其他建设内容不变。根据生态环境部《污染影响类建设项目重大变动清单（试行）》的通知（环办环评函〔2020〕688号）相关要求，需要重新报批环境影响评价文件。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项目位于大同市平城区文盛街与永寿路岗东北角。项目总投资6974.9万元，其中环保投资106万元，占总投资额的1.52%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总用地面积9488.88平方米，总建筑面积约为15860平方米（地上建筑面积11950平方米，地下建筑面积3910平方米），主要建筑物包括养老楼、生活配套楼、护理楼、医疗配套楼、2台0.5t天然气热水锅炉及其他配套设施，项目建成后护理楼设置住院床位100张，医疗配套楼设置有内科、外科、眼耳鼻喉科、妇科、口腔科、中医科、医学影像科及检验科等科室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依据大同市生态环境评估中心技术评估报告，项目在全面落实《报告表》提出的各项生态保护和污染防治措施前提下，项目实施对环境的不利影响可得到减缓和控制。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我局原则同意你公司按照《报告表》以及国家相关环保法律法规的规定进行建设。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二、在项目设计、建设、运行和环境管理中要认真落实《报告表》提出的各项环保要求，并重点做好以下工作：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1、严格落实施工期环境保护措施。认真做好施工期环境保护工作，加强环境管理，落实《报告表》提出的各项污染防治措施，降低对周边环境的影响。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落实大气污染防治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。污水处理设施产生的恶臭气体收集后经活性炭吸附后通过15m高排气简排放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天然气锅炉废气经低氮燃烧后通过8m高排气筒排放，执行山西省地方标准《锅炉大气污染物排放标准》(DB14/1929-2019)中表3排放限值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食堂油烟经油烟净化装置处理后通过管道排放，油烟排放执行《饮食业油烟排放标准(试行)》(GB18483-2001)中的相关要求。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落实废水污染防治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污水处理设施采用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“预消毒+A/0生物接触氧化+沉淀消毒”处理工艺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，口腔科产生的含汞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特殊废水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预处理后与医疗废水合并排入院区污水处理站处理，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市政污水管网最终进入大同市御东污水处理厂；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生活配套楼污水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经隔油池处理后与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养老楼污水合并排入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市政管网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落实噪声污染防治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。运营期选用先进的低噪声设备，采取基础减震、隔声降噪等措施，确保运营期厂界噪声达到《工业企业厂界环境噪声排放标准》(GB12348-2008)中的相应标准。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32"/>
          <w:szCs w:val="32"/>
        </w:rPr>
        <w:t>妥善处置各类固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体废物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按照“减量化、资源化、无害化”原则，加强环境管控，切实做好固体废物的分类收集和妥善处置。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项目运营期根据危废类型按危废管理规定设置危险废物暂存场所。栅渣及污泥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经消毒、脱水后与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医疗废物、废活性炭等收集暂存于医疗废物贮存库，委托有资质单位定期进行清运处理；危废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贮存库应满足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《危险废物贮存污染控制标准》（GB18597-2023）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相关要求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。生活垃圾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办公区及生活区设置垃圾桶，经集中收集后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由环卫部门统一处理。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加强生态环境保护，严格落实院区的硬化、绿化美化及防沙治沙等相关措施，确保满足相关要求，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将其作为环境管理的重要内容，全面提升企业形象。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、健全环境管理制度。认真履行《报告表》制定的环境管理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按照环境管理和监测的要求，配备必要的监测仪器设备，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确保污染物长期稳定达标排放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、本项目审批不包括辐射装置，辐射装置需按照《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建设项目环境影响评价分类管理名录》设定的级别另行评价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三、本项目《报告表》经批复后，我局先前作出的《关于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大同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市光荣院三期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建设项目环境影响报告表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的批复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平城环函</w:t>
      </w:r>
      <w:r>
        <w:rPr>
          <w:rFonts w:hint="eastAsia" w:ascii="仿宋_GB2312" w:hAnsi="仿宋_GB2312" w:eastAsia="仿宋_GB2312" w:cs="仿宋_GB2312"/>
          <w:color w:val="auto"/>
          <w:sz w:val="32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</w:rPr>
        <w:t>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）自行失效。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四、严格落实《报告表》中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提出的各项环保对策措施，确保污染物达标排放，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核定本项目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污染物排放总量控制指标为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颗粒物0.025吨/年，二氧化硫0.019吨/年，氮氧化物0.25吨/年；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化学需氧量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0.34吨/年，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氨氮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0.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17吨/年。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、建立健全项目信息公开机制，按照《建设项目环境影响评价信息公开机制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》等要求，及时、如实向社会公开项目相关信息，并主动接受社会监督。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、你公司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严格执行环保“三同时”制度，严格执行国家排污许可有关管理规定，按照国家规定的标准和程序实施竣工环境保护验收。如项目的性质、规模、位置、工艺或者防治污染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防止生态破坏的措施发生重大变动的，应当重新报批建设项目的环境影响评价文件。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大同市生态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环境保护综合行政执法队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负责该项目建设期及运营期的日常监督管理工作。 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大同市生态环境局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平城分局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　　　　　　　　　　　　　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2024年5月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28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97" w:right="1519" w:bottom="149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NGY4NTNmYmNjMmZkNmY5ZTEzNDEyZjVlMWRhMWQifQ=="/>
  </w:docVars>
  <w:rsids>
    <w:rsidRoot w:val="2AA729CC"/>
    <w:rsid w:val="017F5509"/>
    <w:rsid w:val="038A46FD"/>
    <w:rsid w:val="03923349"/>
    <w:rsid w:val="05625648"/>
    <w:rsid w:val="05A71CB0"/>
    <w:rsid w:val="06ED5680"/>
    <w:rsid w:val="08BA1B19"/>
    <w:rsid w:val="0C247003"/>
    <w:rsid w:val="0C2F67E4"/>
    <w:rsid w:val="18134AEE"/>
    <w:rsid w:val="190469AC"/>
    <w:rsid w:val="1A0B41A5"/>
    <w:rsid w:val="202A5D15"/>
    <w:rsid w:val="23C21BBB"/>
    <w:rsid w:val="27466C0D"/>
    <w:rsid w:val="2AA729CC"/>
    <w:rsid w:val="2E4F0E88"/>
    <w:rsid w:val="2FE959FD"/>
    <w:rsid w:val="31750EEA"/>
    <w:rsid w:val="32C87D5D"/>
    <w:rsid w:val="3CC40C7A"/>
    <w:rsid w:val="3E0A303C"/>
    <w:rsid w:val="462D002F"/>
    <w:rsid w:val="474842A6"/>
    <w:rsid w:val="4759209C"/>
    <w:rsid w:val="4E1F5850"/>
    <w:rsid w:val="4E8207BE"/>
    <w:rsid w:val="510D41D6"/>
    <w:rsid w:val="52B822E8"/>
    <w:rsid w:val="55E37F59"/>
    <w:rsid w:val="565C3B47"/>
    <w:rsid w:val="59DA7F73"/>
    <w:rsid w:val="5B4133F6"/>
    <w:rsid w:val="66740CBF"/>
    <w:rsid w:val="6DCA58BA"/>
    <w:rsid w:val="74570D30"/>
    <w:rsid w:val="760A11E0"/>
    <w:rsid w:val="76491432"/>
    <w:rsid w:val="77226409"/>
    <w:rsid w:val="78200818"/>
    <w:rsid w:val="78AF5908"/>
    <w:rsid w:val="7BE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autoRedefine/>
    <w:qFormat/>
    <w:uiPriority w:val="0"/>
    <w:pPr>
      <w:spacing w:line="540" w:lineRule="exact"/>
      <w:jc w:val="center"/>
    </w:pPr>
    <w:rPr>
      <w:rFonts w:eastAsia="华文中宋"/>
      <w:sz w:val="40"/>
    </w:rPr>
  </w:style>
  <w:style w:type="paragraph" w:styleId="4">
    <w:name w:val="Plain Text"/>
    <w:basedOn w:val="1"/>
    <w:next w:val="5"/>
    <w:autoRedefine/>
    <w:qFormat/>
    <w:uiPriority w:val="0"/>
    <w:rPr>
      <w:rFonts w:hAnsi="Courier New" w:cs="Courier New"/>
      <w:szCs w:val="21"/>
    </w:rPr>
  </w:style>
  <w:style w:type="paragraph" w:styleId="5">
    <w:name w:val="Body Text First Indent"/>
    <w:basedOn w:val="3"/>
    <w:next w:val="1"/>
    <w:autoRedefine/>
    <w:qFormat/>
    <w:uiPriority w:val="0"/>
    <w:pPr>
      <w:ind w:firstLine="420" w:firstLineChars="100"/>
    </w:pPr>
    <w:rPr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Default"/>
    <w:basedOn w:val="12"/>
    <w:next w:val="1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12">
    <w:name w:val="纯文本1"/>
    <w:basedOn w:val="1"/>
    <w:autoRedefine/>
    <w:qFormat/>
    <w:uiPriority w:val="0"/>
    <w:pPr>
      <w:adjustRightInd w:val="0"/>
      <w:textAlignment w:val="baseline"/>
    </w:pPr>
    <w:rPr>
      <w:rFonts w:hAnsi="Courier New" w:eastAsia="仿宋_GB2312"/>
      <w:sz w:val="28"/>
      <w:szCs w:val="21"/>
    </w:rPr>
  </w:style>
  <w:style w:type="paragraph" w:customStyle="1" w:styleId="13">
    <w:name w:val="表格文字"/>
    <w:basedOn w:val="14"/>
    <w:next w:val="1"/>
    <w:autoRedefine/>
    <w:qFormat/>
    <w:uiPriority w:val="0"/>
    <w:pPr>
      <w:tabs>
        <w:tab w:val="left" w:pos="5880"/>
      </w:tabs>
      <w:snapToGrid w:val="0"/>
      <w:spacing w:line="240" w:lineRule="atLeast"/>
      <w:jc w:val="center"/>
    </w:pPr>
    <w:rPr>
      <w:rFonts w:hAnsi="宋体"/>
      <w:snapToGrid w:val="0"/>
      <w:kern w:val="0"/>
      <w:position w:val="-24"/>
      <w:szCs w:val="20"/>
    </w:rPr>
  </w:style>
  <w:style w:type="paragraph" w:customStyle="1" w:styleId="14">
    <w:name w:val="表格标题"/>
    <w:basedOn w:val="4"/>
    <w:next w:val="1"/>
    <w:autoRedefine/>
    <w:qFormat/>
    <w:uiPriority w:val="0"/>
    <w:pPr>
      <w:spacing w:line="420" w:lineRule="atLeast"/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1896</Words>
  <Characters>2028</Characters>
  <Lines>0</Lines>
  <Paragraphs>0</Paragraphs>
  <TotalTime>1</TotalTime>
  <ScaleCrop>false</ScaleCrop>
  <LinksUpToDate>false</LinksUpToDate>
  <CharactersWithSpaces>2100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2023-12-28T06:25:00Z</dcterms:created>
  <dc:creator>西贝</dc:creator>
  <cp:lastModifiedBy>圆脸</cp:lastModifiedBy>
  <cp:lastPrinted>2024-05-28T08:34:00Z</cp:lastPrinted>
  <dcterms:modified xsi:type="dcterms:W3CDTF">2024-05-28T09:01:11Z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FBB43780600C4BEF87E16A61B56A0022_13</vt:lpwstr>
  </property>
</Properties>
</file>